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Times New Roman" w:hAnsi="Times New Roman" w:cs="Times New Roman"/>
          <w:i w:val="0"/>
          <w:iCs w:val="0"/>
          <w:caps w:val="0"/>
          <w:color w:val="525353"/>
          <w:spacing w:val="0"/>
          <w:sz w:val="21"/>
          <w:szCs w:val="21"/>
        </w:rPr>
      </w:pPr>
      <w:r>
        <w:rPr>
          <w:rFonts w:ascii="方正小标宋简体" w:hAnsi="方正小标宋简体" w:eastAsia="方正小标宋简体" w:cs="方正小标宋简体"/>
          <w:i w:val="0"/>
          <w:iCs w:val="0"/>
          <w:caps w:val="0"/>
          <w:color w:val="525353"/>
          <w:spacing w:val="0"/>
          <w:sz w:val="43"/>
          <w:szCs w:val="43"/>
          <w:bdr w:val="none" w:color="auto" w:sz="0" w:space="0"/>
          <w:shd w:val="clear" w:fill="FFFFFF"/>
        </w:rPr>
        <w:t>广西壮族自治区林业局关于印发《广西林业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Times New Roman" w:hAnsi="Times New Roman" w:cs="Times New Roman"/>
          <w:i w:val="0"/>
          <w:iCs w:val="0"/>
          <w:caps w:val="0"/>
          <w:color w:val="525353"/>
          <w:spacing w:val="0"/>
          <w:sz w:val="21"/>
          <w:szCs w:val="21"/>
        </w:rPr>
      </w:pPr>
      <w:r>
        <w:rPr>
          <w:rFonts w:hint="eastAsia" w:ascii="方正小标宋简体" w:hAnsi="方正小标宋简体" w:eastAsia="方正小标宋简体" w:cs="方正小标宋简体"/>
          <w:i w:val="0"/>
          <w:iCs w:val="0"/>
          <w:caps w:val="0"/>
          <w:color w:val="525353"/>
          <w:spacing w:val="0"/>
          <w:sz w:val="43"/>
          <w:szCs w:val="43"/>
          <w:bdr w:val="none" w:color="auto" w:sz="0" w:space="0"/>
          <w:shd w:val="clear" w:fill="FFFFFF"/>
        </w:rPr>
        <w:t>工程评标专家和评标专家库管理办法》的通知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Times New Roman" w:hAnsi="Times New Roman" w:cs="Times New Roman"/>
          <w:i w:val="0"/>
          <w:iCs w:val="0"/>
          <w:caps w:val="0"/>
          <w:color w:val="525353"/>
          <w:spacing w:val="0"/>
          <w:sz w:val="21"/>
          <w:szCs w:val="21"/>
        </w:rPr>
      </w:pPr>
      <w:r>
        <w:rPr>
          <w:rFonts w:ascii="仿宋_GB2312" w:hAnsi="Times New Roman" w:eastAsia="仿宋_GB2312" w:cs="仿宋_GB2312"/>
          <w:i w:val="0"/>
          <w:iCs w:val="0"/>
          <w:caps w:val="0"/>
          <w:color w:val="525353"/>
          <w:spacing w:val="0"/>
          <w:sz w:val="31"/>
          <w:szCs w:val="31"/>
          <w:bdr w:val="none" w:color="auto" w:sz="0" w:space="0"/>
          <w:shd w:val="clear" w:fill="FFFFFF"/>
        </w:rPr>
        <w:t>（</w:t>
      </w:r>
      <w:r>
        <w:rPr>
          <w:rFonts w:hint="eastAsia" w:ascii="仿宋_GB2312" w:hAnsi="Times New Roman" w:eastAsia="仿宋_GB2312" w:cs="仿宋_GB2312"/>
          <w:i w:val="0"/>
          <w:iCs w:val="0"/>
          <w:caps w:val="0"/>
          <w:color w:val="525353"/>
          <w:spacing w:val="0"/>
          <w:sz w:val="31"/>
          <w:szCs w:val="31"/>
          <w:bdr w:val="none" w:color="auto" w:sz="0" w:space="0"/>
          <w:shd w:val="clear" w:fill="FFFFFF"/>
        </w:rPr>
        <w:t>桂林规〔</w:t>
      </w:r>
      <w:r>
        <w:rPr>
          <w:rFonts w:hint="default" w:ascii="Times New Roman" w:hAnsi="Times New Roman" w:cs="Times New Roman"/>
          <w:i w:val="0"/>
          <w:iCs w:val="0"/>
          <w:caps w:val="0"/>
          <w:color w:val="525353"/>
          <w:spacing w:val="0"/>
          <w:sz w:val="31"/>
          <w:szCs w:val="31"/>
          <w:bdr w:val="none" w:color="auto" w:sz="0" w:space="0"/>
          <w:shd w:val="clear" w:fill="FFFFFF"/>
        </w:rPr>
        <w:t>2025</w:t>
      </w:r>
      <w:r>
        <w:rPr>
          <w:rFonts w:hint="eastAsia" w:ascii="仿宋_GB2312" w:hAnsi="Times New Roman" w:eastAsia="仿宋_GB2312" w:cs="仿宋_GB2312"/>
          <w:i w:val="0"/>
          <w:iCs w:val="0"/>
          <w:caps w:val="0"/>
          <w:color w:val="525353"/>
          <w:spacing w:val="0"/>
          <w:sz w:val="31"/>
          <w:szCs w:val="31"/>
          <w:bdr w:val="none" w:color="auto" w:sz="0" w:space="0"/>
          <w:shd w:val="clear" w:fill="FFFFFF"/>
        </w:rPr>
        <w:t>〕</w:t>
      </w:r>
      <w:r>
        <w:rPr>
          <w:rFonts w:hint="default" w:ascii="Times New Roman" w:hAnsi="Times New Roman" w:cs="Times New Roman"/>
          <w:i w:val="0"/>
          <w:iCs w:val="0"/>
          <w:caps w:val="0"/>
          <w:color w:val="525353"/>
          <w:spacing w:val="0"/>
          <w:sz w:val="31"/>
          <w:szCs w:val="31"/>
          <w:bdr w:val="none" w:color="auto" w:sz="0" w:space="0"/>
          <w:shd w:val="clear" w:fill="FFFFFF"/>
        </w:rPr>
        <w:t>6</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号）</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default" w:ascii="Times New Roman" w:hAnsi="Times New Roman" w:cs="Times New Roman"/>
          <w:i w:val="0"/>
          <w:iCs w:val="0"/>
          <w:caps w:val="0"/>
          <w:color w:val="525353"/>
          <w:spacing w:val="0"/>
          <w:sz w:val="21"/>
          <w:szCs w:val="21"/>
        </w:rPr>
      </w:pPr>
      <w:r>
        <w:rPr>
          <w:rFonts w:hint="eastAsia" w:ascii="宋体" w:hAnsi="宋体" w:eastAsia="宋体" w:cs="宋体"/>
          <w:i w:val="0"/>
          <w:iCs w:val="0"/>
          <w:caps w:val="0"/>
          <w:color w:val="52535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各市、县林业主管部门，局各处室站，局直属各单位：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《广西林业工程评标专家和评标专家库管理办法》已经自治区林业局</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2025</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年第</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22</w:t>
      </w:r>
      <w:r>
        <w:rPr>
          <w:rFonts w:hint="eastAsia" w:ascii="仿宋_GB2312" w:hAnsi="Times New Roman" w:eastAsia="仿宋_GB2312" w:cs="仿宋_GB2312"/>
          <w:i w:val="0"/>
          <w:iCs w:val="0"/>
          <w:caps w:val="0"/>
          <w:color w:val="525353"/>
          <w:spacing w:val="0"/>
          <w:sz w:val="31"/>
          <w:szCs w:val="31"/>
          <w:bdr w:val="none" w:color="auto" w:sz="0" w:space="0"/>
          <w:shd w:val="clear" w:fill="FFFFFF"/>
        </w:rPr>
        <w:t>次党组（扩大）会议审议通过，现印发给你们，请认真组织实施。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Times New Roman" w:hAnsi="Times New Roman" w:cs="Times New Roman"/>
          <w:i w:val="0"/>
          <w:iCs w:val="0"/>
          <w:caps w:val="0"/>
          <w:color w:val="525353"/>
          <w:spacing w:val="0"/>
          <w:sz w:val="21"/>
          <w:szCs w:val="21"/>
        </w:rPr>
      </w:pPr>
      <w:r>
        <w:rPr>
          <w:rFonts w:hint="default" w:ascii="Times New Roman" w:hAnsi="Times New Roman" w:cs="Times New Roman"/>
          <w:i w:val="0"/>
          <w:iCs w:val="0"/>
          <w:caps w:val="0"/>
          <w:color w:val="525353"/>
          <w:spacing w:val="0"/>
          <w:sz w:val="43"/>
          <w:szCs w:val="43"/>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Times New Roman" w:hAnsi="Times New Roman" w:cs="Times New Roman"/>
          <w:i w:val="0"/>
          <w:iCs w:val="0"/>
          <w:caps w:val="0"/>
          <w:color w:val="525353"/>
          <w:spacing w:val="0"/>
          <w:sz w:val="21"/>
          <w:szCs w:val="21"/>
        </w:rPr>
      </w:pPr>
      <w:r>
        <w:rPr>
          <w:rFonts w:hint="default" w:ascii="Times New Roman" w:hAnsi="Times New Roman" w:cs="Times New Roman"/>
          <w:i w:val="0"/>
          <w:iCs w:val="0"/>
          <w:caps w:val="0"/>
          <w:color w:val="525353"/>
          <w:spacing w:val="0"/>
          <w:sz w:val="43"/>
          <w:szCs w:val="43"/>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80" w:lineRule="atLeast"/>
        <w:ind w:left="0" w:right="0" w:firstLine="5280"/>
        <w:jc w:val="both"/>
        <w:rPr>
          <w:rFonts w:hint="default" w:ascii="Times New Roman" w:hAnsi="Times New Roman" w:cs="Times New Roman"/>
          <w:i w:val="0"/>
          <w:iCs w:val="0"/>
          <w:caps w:val="0"/>
          <w:color w:val="525353"/>
          <w:spacing w:val="0"/>
          <w:sz w:val="21"/>
          <w:szCs w:val="21"/>
        </w:rPr>
      </w:pPr>
      <w:r>
        <w:rPr>
          <w:rFonts w:hint="default" w:ascii="Times New Roman" w:hAnsi="Times New Roman" w:cs="Times New Roman"/>
          <w:i w:val="0"/>
          <w:iCs w:val="0"/>
          <w:caps w:val="0"/>
          <w:color w:val="525353"/>
          <w:spacing w:val="0"/>
          <w:sz w:val="31"/>
          <w:szCs w:val="31"/>
          <w:bdr w:val="none" w:color="auto" w:sz="0" w:space="0"/>
          <w:shd w:val="clear" w:fill="FFFFFF"/>
        </w:rPr>
        <w:t>2025</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年</w:t>
      </w:r>
      <w:r>
        <w:rPr>
          <w:rFonts w:hint="default" w:ascii="Times New Roman" w:hAnsi="Times New Roman" w:cs="Times New Roman"/>
          <w:i w:val="0"/>
          <w:iCs w:val="0"/>
          <w:caps w:val="0"/>
          <w:color w:val="525353"/>
          <w:spacing w:val="0"/>
          <w:sz w:val="31"/>
          <w:szCs w:val="31"/>
          <w:bdr w:val="none" w:color="auto" w:sz="0" w:space="0"/>
          <w:shd w:val="clear" w:fill="FFFFFF"/>
        </w:rPr>
        <w:t>11</w:t>
      </w:r>
      <w:r>
        <w:rPr>
          <w:rFonts w:hint="eastAsia" w:ascii="仿宋_GB2312" w:hAnsi="Times New Roman" w:eastAsia="仿宋_GB2312" w:cs="仿宋_GB2312"/>
          <w:i w:val="0"/>
          <w:iCs w:val="0"/>
          <w:caps w:val="0"/>
          <w:color w:val="525353"/>
          <w:spacing w:val="0"/>
          <w:sz w:val="31"/>
          <w:szCs w:val="31"/>
          <w:bdr w:val="none" w:color="auto" w:sz="0" w:space="0"/>
          <w:shd w:val="clear" w:fill="FFFFFF"/>
        </w:rPr>
        <w:t>月</w:t>
      </w:r>
      <w:r>
        <w:rPr>
          <w:rFonts w:hint="default" w:ascii="Times New Roman" w:hAnsi="Times New Roman" w:cs="Times New Roman"/>
          <w:i w:val="0"/>
          <w:iCs w:val="0"/>
          <w:caps w:val="0"/>
          <w:color w:val="525353"/>
          <w:spacing w:val="0"/>
          <w:sz w:val="31"/>
          <w:szCs w:val="31"/>
          <w:bdr w:val="none" w:color="auto" w:sz="0" w:space="0"/>
          <w:shd w:val="clear" w:fill="FFFFFF"/>
        </w:rPr>
        <w:t>28</w:t>
      </w:r>
      <w:r>
        <w:rPr>
          <w:rFonts w:hint="eastAsia" w:ascii="仿宋_GB2312" w:hAnsi="Times New Roman" w:eastAsia="仿宋_GB2312" w:cs="仿宋_GB2312"/>
          <w:i w:val="0"/>
          <w:iCs w:val="0"/>
          <w:caps w:val="0"/>
          <w:color w:val="525353"/>
          <w:spacing w:val="0"/>
          <w:sz w:val="31"/>
          <w:szCs w:val="31"/>
          <w:bdr w:val="none" w:color="auto" w:sz="0" w:space="0"/>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default" w:ascii="Times New Roman" w:hAnsi="Times New Roman" w:cs="Times New Roman"/>
          <w:i w:val="0"/>
          <w:iCs w:val="0"/>
          <w:caps w:val="0"/>
          <w:color w:val="525353"/>
          <w:spacing w:val="0"/>
          <w:sz w:val="21"/>
          <w:szCs w:val="21"/>
        </w:rPr>
      </w:pPr>
      <w:r>
        <w:rPr>
          <w:rFonts w:hint="eastAsia" w:ascii="方正小标宋简体" w:hAnsi="方正小标宋简体" w:eastAsia="方正小标宋简体" w:cs="方正小标宋简体"/>
          <w:i w:val="0"/>
          <w:iCs w:val="0"/>
          <w:caps w:val="0"/>
          <w:color w:val="525353"/>
          <w:spacing w:val="0"/>
          <w:sz w:val="43"/>
          <w:szCs w:val="43"/>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default" w:ascii="Times New Roman" w:hAnsi="Times New Roman" w:cs="Times New Roman"/>
          <w:i w:val="0"/>
          <w:iCs w:val="0"/>
          <w:caps w:val="0"/>
          <w:color w:val="525353"/>
          <w:spacing w:val="0"/>
          <w:sz w:val="21"/>
          <w:szCs w:val="21"/>
        </w:rPr>
      </w:pPr>
      <w:r>
        <w:rPr>
          <w:rFonts w:hint="eastAsia" w:ascii="方正小标宋简体" w:hAnsi="方正小标宋简体" w:eastAsia="方正小标宋简体" w:cs="方正小标宋简体"/>
          <w:i w:val="0"/>
          <w:iCs w:val="0"/>
          <w:caps w:val="0"/>
          <w:color w:val="525353"/>
          <w:spacing w:val="0"/>
          <w:sz w:val="43"/>
          <w:szCs w:val="43"/>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default" w:ascii="Times New Roman" w:hAnsi="Times New Roman" w:cs="Times New Roman"/>
          <w:i w:val="0"/>
          <w:iCs w:val="0"/>
          <w:caps w:val="0"/>
          <w:color w:val="525353"/>
          <w:spacing w:val="0"/>
          <w:sz w:val="21"/>
          <w:szCs w:val="21"/>
        </w:rPr>
      </w:pPr>
      <w:r>
        <w:rPr>
          <w:rFonts w:hint="eastAsia" w:ascii="方正小标宋简体" w:hAnsi="方正小标宋简体" w:eastAsia="方正小标宋简体" w:cs="方正小标宋简体"/>
          <w:i w:val="0"/>
          <w:iCs w:val="0"/>
          <w:caps w:val="0"/>
          <w:color w:val="525353"/>
          <w:spacing w:val="0"/>
          <w:sz w:val="43"/>
          <w:szCs w:val="43"/>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default" w:ascii="Times New Roman" w:hAnsi="Times New Roman" w:cs="Times New Roman"/>
          <w:i w:val="0"/>
          <w:iCs w:val="0"/>
          <w:caps w:val="0"/>
          <w:color w:val="525353"/>
          <w:spacing w:val="0"/>
          <w:sz w:val="21"/>
          <w:szCs w:val="21"/>
        </w:rPr>
      </w:pPr>
      <w:r>
        <w:rPr>
          <w:rFonts w:hint="eastAsia" w:ascii="方正小标宋简体" w:hAnsi="方正小标宋简体" w:eastAsia="方正小标宋简体" w:cs="方正小标宋简体"/>
          <w:i w:val="0"/>
          <w:iCs w:val="0"/>
          <w:caps w:val="0"/>
          <w:color w:val="525353"/>
          <w:spacing w:val="0"/>
          <w:sz w:val="43"/>
          <w:szCs w:val="43"/>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default" w:ascii="Times New Roman" w:hAnsi="Times New Roman" w:cs="Times New Roman"/>
          <w:i w:val="0"/>
          <w:iCs w:val="0"/>
          <w:caps w:val="0"/>
          <w:color w:val="525353"/>
          <w:spacing w:val="0"/>
          <w:sz w:val="21"/>
          <w:szCs w:val="21"/>
        </w:rPr>
      </w:pPr>
      <w:r>
        <w:rPr>
          <w:rFonts w:hint="eastAsia" w:ascii="方正小标宋简体" w:hAnsi="方正小标宋简体" w:eastAsia="方正小标宋简体" w:cs="方正小标宋简体"/>
          <w:i w:val="0"/>
          <w:iCs w:val="0"/>
          <w:caps w:val="0"/>
          <w:color w:val="525353"/>
          <w:spacing w:val="0"/>
          <w:sz w:val="43"/>
          <w:szCs w:val="43"/>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default" w:ascii="Times New Roman" w:hAnsi="Times New Roman" w:cs="Times New Roman"/>
          <w:i w:val="0"/>
          <w:iCs w:val="0"/>
          <w:caps w:val="0"/>
          <w:color w:val="525353"/>
          <w:spacing w:val="0"/>
          <w:sz w:val="21"/>
          <w:szCs w:val="21"/>
        </w:rPr>
      </w:pPr>
      <w:r>
        <w:rPr>
          <w:rFonts w:hint="eastAsia" w:ascii="方正小标宋简体" w:hAnsi="方正小标宋简体" w:eastAsia="方正小标宋简体" w:cs="方正小标宋简体"/>
          <w:i w:val="0"/>
          <w:iCs w:val="0"/>
          <w:caps w:val="0"/>
          <w:color w:val="525353"/>
          <w:spacing w:val="0"/>
          <w:sz w:val="43"/>
          <w:szCs w:val="43"/>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default" w:ascii="Times New Roman" w:hAnsi="Times New Roman" w:cs="Times New Roman"/>
          <w:i w:val="0"/>
          <w:iCs w:val="0"/>
          <w:caps w:val="0"/>
          <w:color w:val="525353"/>
          <w:spacing w:val="0"/>
          <w:sz w:val="21"/>
          <w:szCs w:val="21"/>
        </w:rPr>
      </w:pPr>
      <w:r>
        <w:rPr>
          <w:rFonts w:hint="eastAsia" w:ascii="方正小标宋简体" w:hAnsi="方正小标宋简体" w:eastAsia="方正小标宋简体" w:cs="方正小标宋简体"/>
          <w:i w:val="0"/>
          <w:iCs w:val="0"/>
          <w:caps w:val="0"/>
          <w:color w:val="525353"/>
          <w:spacing w:val="0"/>
          <w:sz w:val="43"/>
          <w:szCs w:val="43"/>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default" w:ascii="Times New Roman" w:hAnsi="Times New Roman" w:cs="Times New Roman"/>
          <w:i w:val="0"/>
          <w:iCs w:val="0"/>
          <w:caps w:val="0"/>
          <w:color w:val="525353"/>
          <w:spacing w:val="0"/>
          <w:sz w:val="21"/>
          <w:szCs w:val="21"/>
        </w:rPr>
      </w:pPr>
      <w:r>
        <w:rPr>
          <w:rFonts w:hint="eastAsia" w:ascii="方正小标宋简体" w:hAnsi="方正小标宋简体" w:eastAsia="方正小标宋简体" w:cs="方正小标宋简体"/>
          <w:i w:val="0"/>
          <w:iCs w:val="0"/>
          <w:caps w:val="0"/>
          <w:color w:val="525353"/>
          <w:spacing w:val="0"/>
          <w:sz w:val="43"/>
          <w:szCs w:val="43"/>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default" w:ascii="Times New Roman" w:hAnsi="Times New Roman" w:cs="Times New Roman"/>
          <w:i w:val="0"/>
          <w:iCs w:val="0"/>
          <w:caps w:val="0"/>
          <w:color w:val="525353"/>
          <w:spacing w:val="0"/>
          <w:sz w:val="21"/>
          <w:szCs w:val="21"/>
        </w:rPr>
      </w:pPr>
      <w:r>
        <w:rPr>
          <w:rFonts w:hint="eastAsia" w:ascii="方正小标宋简体" w:hAnsi="方正小标宋简体" w:eastAsia="方正小标宋简体" w:cs="方正小标宋简体"/>
          <w:i w:val="0"/>
          <w:iCs w:val="0"/>
          <w:caps w:val="0"/>
          <w:color w:val="525353"/>
          <w:spacing w:val="0"/>
          <w:sz w:val="43"/>
          <w:szCs w:val="43"/>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default" w:ascii="Times New Roman" w:hAnsi="Times New Roman" w:cs="Times New Roman"/>
          <w:i w:val="0"/>
          <w:iCs w:val="0"/>
          <w:caps w:val="0"/>
          <w:color w:val="525353"/>
          <w:spacing w:val="0"/>
          <w:sz w:val="21"/>
          <w:szCs w:val="21"/>
        </w:rPr>
      </w:pPr>
      <w:r>
        <w:rPr>
          <w:rFonts w:hint="eastAsia" w:ascii="方正小标宋简体" w:hAnsi="方正小标宋简体" w:eastAsia="方正小标宋简体" w:cs="方正小标宋简体"/>
          <w:i w:val="0"/>
          <w:iCs w:val="0"/>
          <w:caps w:val="0"/>
          <w:color w:val="525353"/>
          <w:spacing w:val="0"/>
          <w:sz w:val="43"/>
          <w:szCs w:val="43"/>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Times New Roman" w:hAnsi="Times New Roman" w:cs="Times New Roman"/>
          <w:i w:val="0"/>
          <w:iCs w:val="0"/>
          <w:caps w:val="0"/>
          <w:color w:val="525353"/>
          <w:spacing w:val="0"/>
          <w:sz w:val="21"/>
          <w:szCs w:val="21"/>
        </w:rPr>
      </w:pPr>
      <w:r>
        <w:rPr>
          <w:rFonts w:hint="eastAsia" w:ascii="方正小标宋简体" w:hAnsi="方正小标宋简体" w:eastAsia="方正小标宋简体" w:cs="方正小标宋简体"/>
          <w:i w:val="0"/>
          <w:iCs w:val="0"/>
          <w:caps w:val="0"/>
          <w:color w:val="525353"/>
          <w:spacing w:val="0"/>
          <w:sz w:val="43"/>
          <w:szCs w:val="43"/>
          <w:bdr w:val="none" w:color="auto" w:sz="0" w:space="0"/>
          <w:shd w:val="clear" w:fill="FFFFFF"/>
        </w:rPr>
        <w:t> 广西林业工程评标专家和评标专家库管理办法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55" w:lineRule="atLeast"/>
        <w:ind w:left="0" w:right="0" w:firstLine="0"/>
        <w:jc w:val="both"/>
        <w:rPr>
          <w:rFonts w:hint="default" w:ascii="Times New Roman" w:hAnsi="Times New Roman" w:cs="Times New Roman"/>
          <w:i w:val="0"/>
          <w:iCs w:val="0"/>
          <w:caps w:val="0"/>
          <w:color w:val="525353"/>
          <w:spacing w:val="0"/>
          <w:sz w:val="21"/>
          <w:szCs w:val="21"/>
        </w:rPr>
      </w:pPr>
      <w:r>
        <w:rPr>
          <w:rFonts w:hint="default" w:ascii="Times New Roman" w:hAnsi="Times New Roman" w:cs="Times New Roman"/>
          <w:i w:val="0"/>
          <w:iCs w:val="0"/>
          <w:caps w:val="0"/>
          <w:color w:val="52535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55" w:lineRule="atLeast"/>
        <w:ind w:left="0" w:right="0" w:firstLine="0"/>
        <w:jc w:val="center"/>
        <w:rPr>
          <w:rFonts w:hint="default" w:ascii="Times New Roman" w:hAnsi="Times New Roman" w:cs="Times New Roman"/>
          <w:i w:val="0"/>
          <w:iCs w:val="0"/>
          <w:caps w:val="0"/>
          <w:color w:val="525353"/>
          <w:spacing w:val="0"/>
          <w:sz w:val="21"/>
          <w:szCs w:val="21"/>
        </w:rPr>
      </w:pPr>
      <w:r>
        <w:rPr>
          <w:rFonts w:ascii="黑体" w:hAnsi="宋体" w:eastAsia="黑体" w:cs="黑体"/>
          <w:i w:val="0"/>
          <w:iCs w:val="0"/>
          <w:caps w:val="0"/>
          <w:color w:val="525353"/>
          <w:spacing w:val="0"/>
          <w:sz w:val="31"/>
          <w:szCs w:val="31"/>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rPr>
        <w:t>第一条</w:t>
      </w:r>
      <w:r>
        <w:rPr>
          <w:rFonts w:hint="eastAsia" w:ascii="仿宋_GB2312" w:hAnsi="Times New Roman" w:eastAsia="仿宋_GB2312" w:cs="仿宋_GB2312"/>
          <w:i w:val="0"/>
          <w:iCs w:val="0"/>
          <w:caps w:val="0"/>
          <w:color w:val="525353"/>
          <w:spacing w:val="0"/>
          <w:sz w:val="31"/>
          <w:szCs w:val="31"/>
          <w:bdr w:val="none" w:color="auto" w:sz="0" w:space="0"/>
          <w:shd w:val="clear" w:fill="FFFFFF"/>
        </w:rPr>
        <w:t> 为加强全区林业工程评标专家和评标专家库管理，确保评标活动公平、公正，提高评标质量，根据《中华人民共和国招标投标法》《中华人民共和国招标投标法实施条例》《评标专家和评标专家库管理办法》等法律法规规定，结合广西实际，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rPr>
        <w:t>第二条</w:t>
      </w:r>
      <w:r>
        <w:rPr>
          <w:rFonts w:hint="eastAsia" w:ascii="仿宋_GB2312" w:hAnsi="Times New Roman" w:eastAsia="仿宋_GB2312" w:cs="仿宋_GB2312"/>
          <w:i w:val="0"/>
          <w:iCs w:val="0"/>
          <w:caps w:val="0"/>
          <w:color w:val="525353"/>
          <w:spacing w:val="0"/>
          <w:sz w:val="31"/>
          <w:szCs w:val="31"/>
          <w:bdr w:val="none" w:color="auto" w:sz="0" w:space="0"/>
          <w:shd w:val="clear" w:fill="FFFFFF"/>
        </w:rPr>
        <w:t> 评标专家的资格认定和入库、监督管理以及评标专家库的管理等活动，适用本办法。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rPr>
        <w:t>第三条</w:t>
      </w:r>
      <w:r>
        <w:rPr>
          <w:rFonts w:hint="eastAsia" w:ascii="仿宋_GB2312" w:hAnsi="Times New Roman" w:eastAsia="仿宋_GB2312" w:cs="仿宋_GB2312"/>
          <w:i w:val="0"/>
          <w:iCs w:val="0"/>
          <w:caps w:val="0"/>
          <w:color w:val="525353"/>
          <w:spacing w:val="0"/>
          <w:sz w:val="31"/>
          <w:szCs w:val="31"/>
          <w:bdr w:val="none" w:color="auto" w:sz="0" w:space="0"/>
          <w:shd w:val="clear" w:fill="FFFFFF"/>
        </w:rPr>
        <w:t> 本办法所称林业工程，是指依据《必须招标的工程项目规定》属于依法必须进行招标的，纳入《广西壮族自治区公共资源交易目录（</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2024</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年版）》“</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A09 </w:t>
      </w:r>
      <w:r>
        <w:rPr>
          <w:rFonts w:hint="eastAsia" w:ascii="仿宋_GB2312" w:hAnsi="Times New Roman" w:eastAsia="仿宋_GB2312" w:cs="仿宋_GB2312"/>
          <w:i w:val="0"/>
          <w:iCs w:val="0"/>
          <w:caps w:val="0"/>
          <w:color w:val="525353"/>
          <w:spacing w:val="0"/>
          <w:sz w:val="31"/>
          <w:szCs w:val="31"/>
          <w:bdr w:val="none" w:color="auto" w:sz="0" w:space="0"/>
          <w:shd w:val="clear" w:fill="FFFFFF"/>
        </w:rPr>
        <w:t>林业工程”类别的，为履行《中华人民共和国森林法》《中华人民共和国草原法》《中华人民共和国湿地保护法》等法定职责，依据《全国重要生态系统保护和修复重大工程总体规划》等国家政策组织实施，并遵守国家林草局、国家发展改革委等主管部门发布的相关技术标准与规范的，与森林、草原、湿地、荒漠生态系统保护修复及林业产业发展相关的各类工程建设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评标专家，是指在林业工程的技术、经济、管理等方面有较高理论水平和丰富实践经验，符合本办法规定条件并经自治区林业局认定的具备林业工程评标等相关资格的人员。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广西林业工程评标专家库，是按照自治区统一标准建立的综合评标专家库，纳入综合评标专家库统一管理。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rPr>
        <w:t>第四条</w:t>
      </w:r>
      <w:r>
        <w:rPr>
          <w:rFonts w:hint="eastAsia" w:ascii="仿宋_GB2312" w:hAnsi="Times New Roman" w:eastAsia="仿宋_GB2312" w:cs="仿宋_GB2312"/>
          <w:i w:val="0"/>
          <w:iCs w:val="0"/>
          <w:caps w:val="0"/>
          <w:color w:val="525353"/>
          <w:spacing w:val="0"/>
          <w:sz w:val="31"/>
          <w:szCs w:val="31"/>
          <w:bdr w:val="none" w:color="auto" w:sz="0" w:space="0"/>
          <w:shd w:val="clear" w:fill="FFFFFF"/>
        </w:rPr>
        <w:t> 自治区林业局负责制定全区林业工程评标专家管理制度，组织开展评标专家的资格认定和入库，以及业务、廉政等培训，负责自治区本级监管项目评标专家的监督管理。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各市、县（市、区）林业主管部门依照林业工程建设管理权限和职责分工，负责其监管项目评标专家的监督管理。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rPr>
        <w:t>第五条</w:t>
      </w:r>
      <w:r>
        <w:rPr>
          <w:rFonts w:hint="eastAsia" w:ascii="仿宋_GB2312" w:hAnsi="Times New Roman" w:eastAsia="仿宋_GB2312" w:cs="仿宋_GB2312"/>
          <w:i w:val="0"/>
          <w:iCs w:val="0"/>
          <w:caps w:val="0"/>
          <w:color w:val="525353"/>
          <w:spacing w:val="0"/>
          <w:sz w:val="31"/>
          <w:szCs w:val="31"/>
          <w:bdr w:val="none" w:color="auto" w:sz="0" w:space="0"/>
          <w:shd w:val="clear" w:fill="FFFFFF"/>
        </w:rPr>
        <w:t> 自治区林业局应当将评标专家的入库、解聘、年度考核结果等信息，通过局官网进行公布，并及时推送至自治区公共资源交易中心，接受社会监督。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Times New Roman" w:hAnsi="Times New Roman" w:cs="Times New Roman"/>
          <w:i w:val="0"/>
          <w:iCs w:val="0"/>
          <w:caps w:val="0"/>
          <w:color w:val="525353"/>
          <w:spacing w:val="0"/>
          <w:sz w:val="21"/>
          <w:szCs w:val="21"/>
        </w:rPr>
      </w:pPr>
      <w:r>
        <w:rPr>
          <w:rFonts w:hint="eastAsia" w:ascii="黑体" w:hAnsi="宋体" w:eastAsia="黑体" w:cs="黑体"/>
          <w:i w:val="0"/>
          <w:iCs w:val="0"/>
          <w:caps w:val="0"/>
          <w:color w:val="52535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Times New Roman" w:hAnsi="Times New Roman" w:cs="Times New Roman"/>
          <w:i w:val="0"/>
          <w:iCs w:val="0"/>
          <w:caps w:val="0"/>
          <w:color w:val="525353"/>
          <w:spacing w:val="0"/>
          <w:sz w:val="21"/>
          <w:szCs w:val="21"/>
        </w:rPr>
      </w:pPr>
      <w:r>
        <w:rPr>
          <w:rFonts w:hint="eastAsia" w:ascii="黑体" w:hAnsi="宋体" w:eastAsia="黑体" w:cs="黑体"/>
          <w:i w:val="0"/>
          <w:iCs w:val="0"/>
          <w:caps w:val="0"/>
          <w:color w:val="525353"/>
          <w:spacing w:val="0"/>
          <w:sz w:val="31"/>
          <w:szCs w:val="31"/>
          <w:bdr w:val="none" w:color="auto" w:sz="0" w:space="0"/>
          <w:shd w:val="clear" w:fill="FFFFFF"/>
        </w:rPr>
        <w:t>第二章 评标专家的资格认定和入库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rPr>
        <w:t>第六条</w:t>
      </w:r>
      <w:r>
        <w:rPr>
          <w:rStyle w:val="6"/>
          <w:rFonts w:hint="default" w:ascii="Times New Roman" w:hAnsi="Times New Roman" w:cs="Times New Roman"/>
          <w:i w:val="0"/>
          <w:iCs w:val="0"/>
          <w:caps w:val="0"/>
          <w:color w:val="525353"/>
          <w:spacing w:val="0"/>
          <w:sz w:val="31"/>
          <w:szCs w:val="31"/>
          <w:bdr w:val="none" w:color="auto" w:sz="0" w:space="0"/>
          <w:shd w:val="clear" w:fill="FFFFFF"/>
        </w:rPr>
        <w:t> </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入选评标专家库的专业人员，应当具备以下条件：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（一）具有良好的职业道德，廉洁自律，遵纪守法，无行贿、受贿欺诈等不良信用记录；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（二）从事林业专业领域工作满</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8</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年，具有与评标项目所属专业领域相关的高级职称或同等专业水平；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（三）具备参加评标工作所需要的专业知识和实践经验；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（四）熟悉招标投标及林业领域有关法律法规、规范标准和相关政策；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（五）能够熟练操作计算机，独立完成电子评标工作；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（六）年龄在</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68</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周岁（含）以下，身体健康，且能胜任评标工作；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（七）未曾受到刑事处罚，未在公共资源交易活动中存在违法行为而受过行政处罚的；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（八）符合法律、法规、规章规定的其他条件。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前款所称“同等专业水平”是指具备下列条件之一者，可视为具有同等专业水平：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default" w:ascii="Times New Roman" w:hAnsi="Times New Roman" w:eastAsia="仿宋_GB2312" w:cs="Times New Roman"/>
          <w:i w:val="0"/>
          <w:iCs w:val="0"/>
          <w:caps w:val="0"/>
          <w:color w:val="525353"/>
          <w:spacing w:val="0"/>
          <w:sz w:val="31"/>
          <w:szCs w:val="31"/>
          <w:bdr w:val="none" w:color="auto" w:sz="0" w:space="0"/>
          <w:shd w:val="clear" w:fill="FFFFFF"/>
        </w:rPr>
        <w:t>1.</w:t>
      </w:r>
      <w:r>
        <w:rPr>
          <w:rFonts w:hint="eastAsia" w:ascii="仿宋_GB2312" w:hAnsi="Times New Roman" w:eastAsia="仿宋_GB2312" w:cs="仿宋_GB2312"/>
          <w:i w:val="0"/>
          <w:iCs w:val="0"/>
          <w:caps w:val="0"/>
          <w:color w:val="525353"/>
          <w:spacing w:val="0"/>
          <w:sz w:val="31"/>
          <w:szCs w:val="31"/>
          <w:bdr w:val="none" w:color="auto" w:sz="0" w:space="0"/>
          <w:shd w:val="clear" w:fill="FFFFFF"/>
        </w:rPr>
        <w:t>从事林业行业专业技术岗位六级及以上；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default" w:ascii="Times New Roman" w:hAnsi="Times New Roman" w:eastAsia="仿宋_GB2312" w:cs="Times New Roman"/>
          <w:i w:val="0"/>
          <w:iCs w:val="0"/>
          <w:caps w:val="0"/>
          <w:color w:val="525353"/>
          <w:spacing w:val="0"/>
          <w:sz w:val="31"/>
          <w:szCs w:val="31"/>
          <w:bdr w:val="none" w:color="auto" w:sz="0" w:space="0"/>
          <w:shd w:val="clear" w:fill="FFFFFF"/>
        </w:rPr>
        <w:t>2.</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其他经自治区林业主管部门组织评议认定，并按规定程序公示后，认定已达到同等专业水平的情形。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rPr>
        <w:t>第七条 </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存在下列情形之一的，不得入选评标专家库：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（一）无民事行为能力或者限制民事行为能力的；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textAlignment w:val="baseline"/>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（二）被有关行政监督部门取消担任评标委员会成员资格的；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（三）被开除公职的；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（四）受过刑事处罚的；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（五）被列入严重失信主体名单的；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（六）法律、法规、规章规定的其他情形。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rPr>
        <w:t>第八条</w:t>
      </w:r>
      <w:r>
        <w:rPr>
          <w:rFonts w:hint="default" w:ascii="Times New Roman" w:hAnsi="Times New Roman" w:cs="Times New Roman"/>
          <w:i w:val="0"/>
          <w:iCs w:val="0"/>
          <w:caps w:val="0"/>
          <w:color w:val="525353"/>
          <w:spacing w:val="0"/>
          <w:sz w:val="31"/>
          <w:szCs w:val="31"/>
          <w:bdr w:val="none" w:color="auto" w:sz="0" w:space="0"/>
          <w:shd w:val="clear" w:fill="FFFFFF"/>
        </w:rPr>
        <w:t> </w:t>
      </w:r>
      <w:r>
        <w:rPr>
          <w:rFonts w:hint="eastAsia" w:ascii="仿宋_GB2312" w:hAnsi="Times New Roman" w:eastAsia="仿宋_GB2312" w:cs="仿宋_GB2312"/>
          <w:i w:val="0"/>
          <w:iCs w:val="0"/>
          <w:caps w:val="0"/>
          <w:color w:val="525353"/>
          <w:spacing w:val="0"/>
          <w:sz w:val="31"/>
          <w:szCs w:val="31"/>
          <w:bdr w:val="none" w:color="auto" w:sz="0" w:space="0"/>
          <w:shd w:val="clear" w:fill="FFFFFF"/>
        </w:rPr>
        <w:t>评标专家库实行动态管理。自治区林业局可以根据工作需要及时补充符合资格要求的评标专家进入专家库。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rPr>
        <w:t>第九条</w:t>
      </w:r>
      <w:r>
        <w:rPr>
          <w:rFonts w:hint="eastAsia" w:ascii="仿宋_GB2312" w:hAnsi="Times New Roman" w:eastAsia="仿宋_GB2312" w:cs="仿宋_GB2312"/>
          <w:i w:val="0"/>
          <w:iCs w:val="0"/>
          <w:caps w:val="0"/>
          <w:color w:val="525353"/>
          <w:spacing w:val="0"/>
          <w:sz w:val="31"/>
          <w:szCs w:val="31"/>
          <w:bdr w:val="none" w:color="auto" w:sz="0" w:space="0"/>
          <w:shd w:val="clear" w:fill="FFFFFF"/>
        </w:rPr>
        <w:t> 评标专家自愿入库，入库实行个人申请、单位推荐、自治区林业局审查的方式确定。评标专家按照下列程序申请入库：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（一）自治区林业局根据需要发布评标专家入库报名的信息。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（二）申请入库的专家根据要求提交下列材料：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Fonts w:hint="default" w:ascii="Times New Roman" w:hAnsi="Times New Roman" w:eastAsia="仿宋_GB2312" w:cs="Times New Roman"/>
          <w:i w:val="0"/>
          <w:iCs w:val="0"/>
          <w:caps w:val="0"/>
          <w:color w:val="525353"/>
          <w:spacing w:val="0"/>
          <w:sz w:val="31"/>
          <w:szCs w:val="31"/>
          <w:bdr w:val="none" w:color="auto" w:sz="0" w:space="0"/>
          <w:shd w:val="clear" w:fill="FFFFFF"/>
        </w:rPr>
        <w:t>1.</w:t>
      </w:r>
      <w:r>
        <w:rPr>
          <w:rFonts w:hint="eastAsia" w:ascii="仿宋_GB2312" w:hAnsi="Times New Roman" w:eastAsia="仿宋_GB2312" w:cs="仿宋_GB2312"/>
          <w:i w:val="0"/>
          <w:iCs w:val="0"/>
          <w:caps w:val="0"/>
          <w:color w:val="525353"/>
          <w:spacing w:val="0"/>
          <w:sz w:val="31"/>
          <w:szCs w:val="31"/>
          <w:bdr w:val="none" w:color="auto" w:sz="0" w:space="0"/>
          <w:shd w:val="clear" w:fill="FFFFFF"/>
        </w:rPr>
        <w:t>个人申请书；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Fonts w:hint="default" w:ascii="Times New Roman" w:hAnsi="Times New Roman" w:eastAsia="仿宋_GB2312" w:cs="Times New Roman"/>
          <w:i w:val="0"/>
          <w:iCs w:val="0"/>
          <w:caps w:val="0"/>
          <w:color w:val="525353"/>
          <w:spacing w:val="0"/>
          <w:sz w:val="31"/>
          <w:szCs w:val="31"/>
          <w:bdr w:val="none" w:color="auto" w:sz="0" w:space="0"/>
          <w:shd w:val="clear" w:fill="FFFFFF"/>
        </w:rPr>
        <w:t>2.</w:t>
      </w:r>
      <w:r>
        <w:rPr>
          <w:rFonts w:hint="eastAsia" w:ascii="仿宋_GB2312" w:hAnsi="Times New Roman" w:eastAsia="仿宋_GB2312" w:cs="仿宋_GB2312"/>
          <w:i w:val="0"/>
          <w:iCs w:val="0"/>
          <w:caps w:val="0"/>
          <w:color w:val="525353"/>
          <w:spacing w:val="0"/>
          <w:sz w:val="31"/>
          <w:szCs w:val="31"/>
          <w:bdr w:val="none" w:color="auto" w:sz="0" w:space="0"/>
          <w:shd w:val="clear" w:fill="FFFFFF"/>
        </w:rPr>
        <w:t>所在工作单位或者退休前原单位的推荐书；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Fonts w:hint="default" w:ascii="Times New Roman" w:hAnsi="Times New Roman" w:eastAsia="仿宋_GB2312" w:cs="Times New Roman"/>
          <w:i w:val="0"/>
          <w:iCs w:val="0"/>
          <w:caps w:val="0"/>
          <w:color w:val="525353"/>
          <w:spacing w:val="0"/>
          <w:sz w:val="31"/>
          <w:szCs w:val="31"/>
          <w:bdr w:val="none" w:color="auto" w:sz="0" w:space="0"/>
          <w:shd w:val="clear" w:fill="FFFFFF"/>
        </w:rPr>
        <w:t>3.</w:t>
      </w:r>
      <w:r>
        <w:rPr>
          <w:rFonts w:hint="eastAsia" w:ascii="仿宋_GB2312" w:hAnsi="Times New Roman" w:eastAsia="仿宋_GB2312" w:cs="仿宋_GB2312"/>
          <w:i w:val="0"/>
          <w:iCs w:val="0"/>
          <w:caps w:val="0"/>
          <w:color w:val="525353"/>
          <w:spacing w:val="0"/>
          <w:sz w:val="31"/>
          <w:szCs w:val="31"/>
          <w:bdr w:val="none" w:color="auto" w:sz="0" w:space="0"/>
          <w:shd w:val="clear" w:fill="FFFFFF"/>
        </w:rPr>
        <w:t>符合本办法第六条规定条件的证明材料；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Fonts w:hint="default" w:ascii="Times New Roman" w:hAnsi="Times New Roman" w:eastAsia="仿宋_GB2312" w:cs="Times New Roman"/>
          <w:i w:val="0"/>
          <w:iCs w:val="0"/>
          <w:caps w:val="0"/>
          <w:color w:val="525353"/>
          <w:spacing w:val="0"/>
          <w:sz w:val="31"/>
          <w:szCs w:val="31"/>
          <w:bdr w:val="none" w:color="auto" w:sz="0" w:space="0"/>
          <w:shd w:val="clear" w:fill="FFFFFF"/>
        </w:rPr>
        <w:t>4.</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关于入库信息真实性合法性和依法履职的书面承诺；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Fonts w:hint="default" w:ascii="Times New Roman" w:hAnsi="Times New Roman" w:eastAsia="仿宋_GB2312" w:cs="Times New Roman"/>
          <w:i w:val="0"/>
          <w:iCs w:val="0"/>
          <w:caps w:val="0"/>
          <w:color w:val="525353"/>
          <w:spacing w:val="0"/>
          <w:sz w:val="31"/>
          <w:szCs w:val="31"/>
          <w:bdr w:val="none" w:color="auto" w:sz="0" w:space="0"/>
          <w:shd w:val="clear" w:fill="FFFFFF"/>
        </w:rPr>
        <w:t>5.</w:t>
      </w:r>
      <w:r>
        <w:rPr>
          <w:rFonts w:hint="eastAsia" w:ascii="仿宋_GB2312" w:hAnsi="Times New Roman" w:eastAsia="仿宋_GB2312" w:cs="仿宋_GB2312"/>
          <w:i w:val="0"/>
          <w:iCs w:val="0"/>
          <w:caps w:val="0"/>
          <w:color w:val="525353"/>
          <w:spacing w:val="0"/>
          <w:sz w:val="31"/>
          <w:szCs w:val="31"/>
          <w:bdr w:val="none" w:color="auto" w:sz="0" w:space="0"/>
          <w:shd w:val="clear" w:fill="FFFFFF"/>
        </w:rPr>
        <w:t>法律、法规、规章规定的其他材料。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三）经自治区林业局进行审核、评估，认定合格后确认入库。审核过程及结果应当全过程记录并存档备查。自治区林业局应当通过组织笔试、面试等测试或者评估，确认拟入库专家是否符合本办法第六条规定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rPr>
        <w:t>第十条</w:t>
      </w:r>
      <w:r>
        <w:rPr>
          <w:rFonts w:hint="eastAsia" w:ascii="仿宋_GB2312" w:hAnsi="Times New Roman" w:eastAsia="仿宋_GB2312" w:cs="仿宋_GB2312"/>
          <w:i w:val="0"/>
          <w:iCs w:val="0"/>
          <w:caps w:val="0"/>
          <w:color w:val="525353"/>
          <w:spacing w:val="0"/>
          <w:sz w:val="31"/>
          <w:szCs w:val="31"/>
          <w:bdr w:val="none" w:color="auto" w:sz="0" w:space="0"/>
          <w:shd w:val="clear" w:fill="FFFFFF"/>
        </w:rPr>
        <w:t> 评标专家实行聘任制，每届聘期为三年，聘期届满自动解除聘任关系。评标专家可以在聘期届满前两个月提出续聘申请，自治区林业局按照入库标准进行审核，决定是否继续聘任。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rPr>
        <w:t>第十一条</w:t>
      </w:r>
      <w:r>
        <w:rPr>
          <w:rFonts w:hint="eastAsia" w:ascii="仿宋_GB2312" w:hAnsi="Times New Roman" w:eastAsia="仿宋_GB2312" w:cs="仿宋_GB2312"/>
          <w:i w:val="0"/>
          <w:iCs w:val="0"/>
          <w:caps w:val="0"/>
          <w:color w:val="525353"/>
          <w:spacing w:val="0"/>
          <w:sz w:val="31"/>
          <w:szCs w:val="31"/>
          <w:bdr w:val="none" w:color="auto" w:sz="0" w:space="0"/>
          <w:shd w:val="clear" w:fill="FFFFFF"/>
        </w:rPr>
        <w:t> 评标专家年度履职考核不合格的，应当与其解除聘任关系，并通报入库推荐单位。对入库后不再具备本办法第六条规定的条件，不再符合入选评标专家库具体标准的，或存在本办法第七条、第十九条、第二十条规定的年度考核不合格情形的评标专家，应在发现有关情形后</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30</w:t>
      </w:r>
      <w:r>
        <w:rPr>
          <w:rFonts w:hint="eastAsia" w:ascii="仿宋_GB2312" w:hAnsi="Times New Roman" w:eastAsia="仿宋_GB2312" w:cs="仿宋_GB2312"/>
          <w:i w:val="0"/>
          <w:iCs w:val="0"/>
          <w:caps w:val="0"/>
          <w:color w:val="525353"/>
          <w:spacing w:val="0"/>
          <w:sz w:val="31"/>
          <w:szCs w:val="31"/>
          <w:bdr w:val="none" w:color="auto" w:sz="0" w:space="0"/>
          <w:shd w:val="clear" w:fill="FFFFFF"/>
        </w:rPr>
        <w:t>日内与其解除聘任关系，调整出库，并通报入库推荐单位。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rPr>
        <w:t>第十二条 </w:t>
      </w:r>
      <w:r>
        <w:rPr>
          <w:rFonts w:hint="eastAsia" w:ascii="仿宋_GB2312" w:hAnsi="Times New Roman" w:eastAsia="仿宋_GB2312" w:cs="仿宋_GB2312"/>
          <w:i w:val="0"/>
          <w:iCs w:val="0"/>
          <w:caps w:val="0"/>
          <w:color w:val="525353"/>
          <w:spacing w:val="0"/>
          <w:sz w:val="31"/>
          <w:szCs w:val="31"/>
          <w:bdr w:val="none" w:color="auto" w:sz="0" w:space="0"/>
          <w:shd w:val="clear" w:fill="FFFFFF"/>
        </w:rPr>
        <w:t>评标专家自愿退出评标专家库的，应当向自治区林业局提出书面申请，自治区林业局自收到申请之日起，停止抽取该评标专家参加评标，并在</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10</w:t>
      </w:r>
      <w:r>
        <w:rPr>
          <w:rFonts w:hint="eastAsia" w:ascii="仿宋_GB2312" w:hAnsi="Times New Roman" w:eastAsia="仿宋_GB2312" w:cs="仿宋_GB2312"/>
          <w:i w:val="0"/>
          <w:iCs w:val="0"/>
          <w:caps w:val="0"/>
          <w:color w:val="525353"/>
          <w:spacing w:val="0"/>
          <w:sz w:val="31"/>
          <w:szCs w:val="31"/>
          <w:bdr w:val="none" w:color="auto" w:sz="0" w:space="0"/>
          <w:shd w:val="clear" w:fill="FFFFFF"/>
        </w:rPr>
        <w:t>日内与其解除聘任关系，调整出库。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Times New Roman" w:hAnsi="Times New Roman" w:cs="Times New Roman"/>
          <w:i w:val="0"/>
          <w:iCs w:val="0"/>
          <w:caps w:val="0"/>
          <w:color w:val="525353"/>
          <w:spacing w:val="0"/>
          <w:sz w:val="21"/>
          <w:szCs w:val="21"/>
        </w:rPr>
      </w:pPr>
      <w:r>
        <w:rPr>
          <w:rFonts w:hint="eastAsia" w:ascii="黑体" w:hAnsi="宋体" w:eastAsia="黑体" w:cs="黑体"/>
          <w:i w:val="0"/>
          <w:iCs w:val="0"/>
          <w:caps w:val="0"/>
          <w:color w:val="52535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Times New Roman" w:hAnsi="Times New Roman" w:cs="Times New Roman"/>
          <w:i w:val="0"/>
          <w:iCs w:val="0"/>
          <w:caps w:val="0"/>
          <w:color w:val="525353"/>
          <w:spacing w:val="0"/>
          <w:sz w:val="21"/>
          <w:szCs w:val="21"/>
        </w:rPr>
      </w:pPr>
      <w:r>
        <w:rPr>
          <w:rFonts w:hint="eastAsia" w:ascii="黑体" w:hAnsi="宋体" w:eastAsia="黑体" w:cs="黑体"/>
          <w:i w:val="0"/>
          <w:iCs w:val="0"/>
          <w:caps w:val="0"/>
          <w:color w:val="525353"/>
          <w:spacing w:val="0"/>
          <w:sz w:val="31"/>
          <w:szCs w:val="31"/>
          <w:bdr w:val="none" w:color="auto" w:sz="0" w:space="0"/>
          <w:shd w:val="clear" w:fill="FFFFFF"/>
        </w:rPr>
        <w:t>第三章 评标专家的抽取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rPr>
        <w:t>第十三条 </w:t>
      </w:r>
      <w:r>
        <w:rPr>
          <w:rFonts w:hint="eastAsia" w:ascii="仿宋_GB2312" w:hAnsi="Times New Roman" w:eastAsia="仿宋_GB2312" w:cs="仿宋_GB2312"/>
          <w:i w:val="0"/>
          <w:iCs w:val="0"/>
          <w:caps w:val="0"/>
          <w:color w:val="525353"/>
          <w:spacing w:val="0"/>
          <w:sz w:val="31"/>
          <w:szCs w:val="31"/>
          <w:bdr w:val="none" w:color="auto" w:sz="0" w:space="0"/>
          <w:shd w:val="clear" w:fill="FFFFFF"/>
        </w:rPr>
        <w:t>招标人应当向有关林业主管部门提出评标专家库抽取申请，明确评标委员会的专业、数量等，并在公共资源交易场所抽取评标专家。在一个评标专家库中无法随机抽取到足够数量专家的，应当从其他依法组建的相关评标专家库中随机抽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抽取国务院有关部门组建的评标专家库，从其规定。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rPr>
        <w:t>第十四条</w:t>
      </w:r>
      <w:r>
        <w:rPr>
          <w:rFonts w:hint="eastAsia" w:ascii="仿宋_GB2312" w:hAnsi="Times New Roman" w:eastAsia="仿宋_GB2312" w:cs="仿宋_GB2312"/>
          <w:i w:val="0"/>
          <w:iCs w:val="0"/>
          <w:caps w:val="0"/>
          <w:color w:val="525353"/>
          <w:spacing w:val="0"/>
          <w:sz w:val="31"/>
          <w:szCs w:val="31"/>
          <w:bdr w:val="none" w:color="auto" w:sz="0" w:space="0"/>
          <w:shd w:val="clear" w:fill="FFFFFF"/>
        </w:rPr>
        <w:t> 抽取评标专家应实行回避制度。有下列情形之一的，不得进入评标委员会或资格审查委员会。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（一）投标人主要负责人的近亲属；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（二）项目主管部门或者行政监督部门的人员；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（三）与投标人有经济利益关系，可能影响公正评审的；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（四）暂停评标专家资格的；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（五）曾因在招标、评标以及其他与招标投标有关活动中从事违法行为而受过行政处罚或刑事处罚的。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rPr>
        <w:t>第十五条 </w:t>
      </w:r>
      <w:r>
        <w:rPr>
          <w:rFonts w:hint="eastAsia" w:ascii="仿宋_GB2312" w:hAnsi="Times New Roman" w:eastAsia="仿宋_GB2312" w:cs="仿宋_GB2312"/>
          <w:i w:val="0"/>
          <w:iCs w:val="0"/>
          <w:caps w:val="0"/>
          <w:color w:val="525353"/>
          <w:spacing w:val="0"/>
          <w:sz w:val="31"/>
          <w:szCs w:val="31"/>
          <w:bdr w:val="none" w:color="auto" w:sz="0" w:space="0"/>
          <w:shd w:val="clear" w:fill="FFFFFF"/>
        </w:rPr>
        <w:t>自治区林业局可以结合评标专家年度履职考核结论、在库年限、参加评标频次等情况调整抽取频次、设置抽取间隔期，防范评标专家履职风险。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Times New Roman" w:hAnsi="Times New Roman" w:cs="Times New Roman"/>
          <w:i w:val="0"/>
          <w:iCs w:val="0"/>
          <w:caps w:val="0"/>
          <w:color w:val="525353"/>
          <w:spacing w:val="0"/>
          <w:sz w:val="21"/>
          <w:szCs w:val="21"/>
        </w:rPr>
      </w:pPr>
      <w:r>
        <w:rPr>
          <w:rFonts w:hint="eastAsia" w:ascii="黑体" w:hAnsi="宋体" w:eastAsia="黑体" w:cs="黑体"/>
          <w:i w:val="0"/>
          <w:iCs w:val="0"/>
          <w:caps w:val="0"/>
          <w:color w:val="52535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120" w:afterAutospacing="0"/>
        <w:ind w:left="0" w:right="0" w:firstLine="0"/>
        <w:jc w:val="both"/>
        <w:rPr>
          <w:rFonts w:hint="default" w:ascii="Times New Roman" w:hAnsi="Times New Roman" w:cs="Times New Roman"/>
          <w:i w:val="0"/>
          <w:iCs w:val="0"/>
          <w:caps w:val="0"/>
          <w:color w:val="525353"/>
          <w:spacing w:val="0"/>
          <w:sz w:val="21"/>
          <w:szCs w:val="21"/>
        </w:rPr>
      </w:pPr>
      <w:r>
        <w:rPr>
          <w:rFonts w:hint="eastAsia" w:ascii="黑体" w:hAnsi="宋体" w:eastAsia="黑体" w:cs="黑体"/>
          <w:i w:val="0"/>
          <w:iCs w:val="0"/>
          <w:caps w:val="0"/>
          <w:color w:val="52535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Times New Roman" w:hAnsi="Times New Roman" w:cs="Times New Roman"/>
          <w:i w:val="0"/>
          <w:iCs w:val="0"/>
          <w:caps w:val="0"/>
          <w:color w:val="525353"/>
          <w:spacing w:val="0"/>
          <w:sz w:val="21"/>
          <w:szCs w:val="21"/>
        </w:rPr>
      </w:pPr>
      <w:r>
        <w:rPr>
          <w:rFonts w:hint="eastAsia" w:ascii="黑体" w:hAnsi="宋体" w:eastAsia="黑体" w:cs="黑体"/>
          <w:i w:val="0"/>
          <w:iCs w:val="0"/>
          <w:caps w:val="0"/>
          <w:color w:val="525353"/>
          <w:spacing w:val="0"/>
          <w:sz w:val="31"/>
          <w:szCs w:val="31"/>
          <w:bdr w:val="none" w:color="auto" w:sz="0" w:space="0"/>
          <w:shd w:val="clear" w:fill="FFFFFF"/>
        </w:rPr>
        <w:t>第四章 评标专家的权利和义务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rPr>
        <w:t>第十六条 </w:t>
      </w:r>
      <w:r>
        <w:rPr>
          <w:rFonts w:hint="eastAsia" w:ascii="仿宋_GB2312" w:hAnsi="Times New Roman" w:eastAsia="仿宋_GB2312" w:cs="仿宋_GB2312"/>
          <w:i w:val="0"/>
          <w:iCs w:val="0"/>
          <w:caps w:val="0"/>
          <w:color w:val="525353"/>
          <w:spacing w:val="0"/>
          <w:sz w:val="31"/>
          <w:szCs w:val="31"/>
          <w:bdr w:val="none" w:color="auto" w:sz="0" w:space="0"/>
          <w:shd w:val="clear" w:fill="FFFFFF"/>
        </w:rPr>
        <w:t>评标专家享有以下权利：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（一）接受招标人聘请，担任评标委员会成员；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（二）查阅与评标项目有关的招标文件、技术资料等，要求对不明确的内容作出说明；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（三）依法对投标文件进行独立评审，提出评审意见，不受任何单位或者个人的干预；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（四）在评标过程中，对发现的违法违规或不公正行为，向有关行政监督部门举报；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（五）如遇招标文件内容存在重大缺陷、歧义，或评标过程受到非法干预，无法保障独立、公正评标时，有权中止评标并书面说明情况；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（六）接受参加评标活动的劳务报酬及异地评标所产生的差旅费等合理费用；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（七）法律、法规、规章规定的其他权利。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前款所称“接受参加评标活动的劳务报酬”，是指结合经济社会发展水平和评标专家工作价值，参照《广西壮族自治区财政厅关于印发广西壮族自治区政府采购评审专家劳务报酬支付标准暂行规定的通知》（桂财采〔</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2017</w:t>
      </w:r>
      <w:r>
        <w:rPr>
          <w:rFonts w:hint="eastAsia" w:ascii="仿宋_GB2312" w:hAnsi="Times New Roman" w:eastAsia="仿宋_GB2312" w:cs="仿宋_GB2312"/>
          <w:i w:val="0"/>
          <w:iCs w:val="0"/>
          <w:caps w:val="0"/>
          <w:color w:val="525353"/>
          <w:spacing w:val="0"/>
          <w:sz w:val="31"/>
          <w:szCs w:val="31"/>
          <w:bdr w:val="none" w:color="auto" w:sz="0" w:space="0"/>
          <w:shd w:val="clear" w:fill="FFFFFF"/>
        </w:rPr>
        <w:t>〕</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15</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号）所确立的标准，支付评标专家劳务报酬。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rPr>
        <w:t>第十七条 </w:t>
      </w:r>
      <w:r>
        <w:rPr>
          <w:rFonts w:hint="eastAsia" w:ascii="仿宋_GB2312" w:hAnsi="Times New Roman" w:eastAsia="仿宋_GB2312" w:cs="仿宋_GB2312"/>
          <w:i w:val="0"/>
          <w:iCs w:val="0"/>
          <w:caps w:val="0"/>
          <w:color w:val="525353"/>
          <w:spacing w:val="0"/>
          <w:sz w:val="31"/>
          <w:szCs w:val="31"/>
          <w:bdr w:val="none" w:color="auto" w:sz="0" w:space="0"/>
          <w:shd w:val="clear" w:fill="FFFFFF"/>
        </w:rPr>
        <w:t>评标专家负有下列义务：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（一）如实填报并及时更新个人基本信息，在个人相关信息发生变化后</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30</w:t>
      </w:r>
      <w:r>
        <w:rPr>
          <w:rFonts w:hint="eastAsia" w:ascii="仿宋_GB2312" w:hAnsi="Times New Roman" w:eastAsia="仿宋_GB2312" w:cs="仿宋_GB2312"/>
          <w:i w:val="0"/>
          <w:iCs w:val="0"/>
          <w:caps w:val="0"/>
          <w:color w:val="525353"/>
          <w:spacing w:val="0"/>
          <w:sz w:val="31"/>
          <w:szCs w:val="31"/>
          <w:bdr w:val="none" w:color="auto" w:sz="0" w:space="0"/>
          <w:shd w:val="clear" w:fill="FFFFFF"/>
        </w:rPr>
        <w:t>日内申请变更；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（二）存在法定回避情形的，主动提出回避；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（三）遵守评标工作纪律和评标现场秩序；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（四）按照招标文件确定的评标标准和方法客观公正地进行评标；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（五）协助、配合招标人处理异议，按规定程序复核、纠正评标报告中的错误；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（六）发现违法违规行为并主动向招标人、有关行政监督部门反映，协助、配合有关行政监督部门、纪检监察机关、司法机关、审计部门开展监督、检查、调查；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（七）法律、法规、规章规定的其他义务。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baseline"/>
        <w:rPr>
          <w:rFonts w:hint="default" w:ascii="Times New Roman" w:hAnsi="Times New Roman" w:cs="Times New Roman"/>
          <w:i w:val="0"/>
          <w:iCs w:val="0"/>
          <w:caps w:val="0"/>
          <w:color w:val="525353"/>
          <w:spacing w:val="0"/>
          <w:sz w:val="21"/>
          <w:szCs w:val="21"/>
        </w:rPr>
      </w:pPr>
      <w:r>
        <w:rPr>
          <w:rFonts w:hint="default" w:ascii="Times New Roman" w:hAnsi="Times New Roman" w:cs="Times New Roman"/>
          <w:i w:val="0"/>
          <w:iCs w:val="0"/>
          <w:caps w:val="0"/>
          <w:color w:val="525353"/>
          <w:spacing w:val="0"/>
          <w:sz w:val="31"/>
          <w:szCs w:val="31"/>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baseline"/>
        <w:rPr>
          <w:rFonts w:hint="default" w:ascii="Times New Roman" w:hAnsi="Times New Roman" w:cs="Times New Roman"/>
          <w:i w:val="0"/>
          <w:iCs w:val="0"/>
          <w:caps w:val="0"/>
          <w:color w:val="525353"/>
          <w:spacing w:val="0"/>
          <w:sz w:val="21"/>
          <w:szCs w:val="21"/>
        </w:rPr>
      </w:pPr>
      <w:r>
        <w:rPr>
          <w:rFonts w:hint="eastAsia" w:ascii="黑体" w:hAnsi="宋体" w:eastAsia="黑体" w:cs="黑体"/>
          <w:i w:val="0"/>
          <w:iCs w:val="0"/>
          <w:caps w:val="0"/>
          <w:color w:val="525353"/>
          <w:spacing w:val="0"/>
          <w:sz w:val="31"/>
          <w:szCs w:val="31"/>
          <w:bdr w:val="none" w:color="auto" w:sz="0" w:space="0"/>
          <w:shd w:val="clear" w:fill="FFFFFF"/>
          <w:vertAlign w:val="baseline"/>
        </w:rPr>
        <w:t>第五章</w:t>
      </w:r>
      <w:r>
        <w:rPr>
          <w:rFonts w:hint="default" w:ascii="Times New Roman" w:hAnsi="Times New Roman" w:cs="Times New Roman"/>
          <w:i w:val="0"/>
          <w:iCs w:val="0"/>
          <w:caps w:val="0"/>
          <w:color w:val="525353"/>
          <w:spacing w:val="0"/>
          <w:sz w:val="31"/>
          <w:szCs w:val="31"/>
          <w:bdr w:val="none" w:color="auto" w:sz="0" w:space="0"/>
          <w:shd w:val="clear" w:fill="FFFFFF"/>
          <w:vertAlign w:val="baseline"/>
        </w:rPr>
        <w:t> </w:t>
      </w:r>
      <w:r>
        <w:rPr>
          <w:rFonts w:hint="eastAsia" w:ascii="黑体" w:hAnsi="宋体" w:eastAsia="黑体" w:cs="黑体"/>
          <w:i w:val="0"/>
          <w:iCs w:val="0"/>
          <w:caps w:val="0"/>
          <w:color w:val="525353"/>
          <w:spacing w:val="0"/>
          <w:sz w:val="31"/>
          <w:szCs w:val="31"/>
          <w:bdr w:val="none" w:color="auto" w:sz="0" w:space="0"/>
          <w:shd w:val="clear" w:fill="FFFFFF"/>
          <w:vertAlign w:val="baseline"/>
        </w:rPr>
        <w:t>评标专家的履职管理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第十八条</w:t>
      </w:r>
      <w:r>
        <w:rPr>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 自治区林业局对建立的评标专家库承担评标专家档案记录、教育培训、履职考核、动态调整等日常管理职责，强化评标专家全周期管理。档案涵盖评标专家的基本信息、参与评标的具体状况、参加教育培训及履职考核的情况。对于聘任的评标专家，实行年度履职考核制度，考核内容包括如下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（一）响应抽取参加评标情况；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（二）遵守评标工作纪律和评标现场秩序情况；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（三）评标客观公正情况；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（四）协助、配合招标人处理异议、复核评标结果情况；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（五）协助、配合有关行政监督部门、纪检监察机关、司法机关、审计部门开展监督、检查、调查情况；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（六）参加教育培训情况；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（七）其他能够反映评标专家履职情况的内容，主要包括但不限于其专业知识更新、持续学习能力以及对招标投标、林业领域相关政策法规的掌握与运用水平。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各级林业主管部门根据监管权限委派监督人员，对其监管项目所组建的评标委员会的评标行为进行考核，不得以任何名义非法控制、干预或者影响评标专家的具体评标活动。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rPr>
        <w:t>第十九条</w:t>
      </w:r>
      <w:r>
        <w:rPr>
          <w:rFonts w:hint="eastAsia" w:ascii="仿宋_GB2312" w:hAnsi="Times New Roman" w:eastAsia="仿宋_GB2312" w:cs="仿宋_GB2312"/>
          <w:i w:val="0"/>
          <w:iCs w:val="0"/>
          <w:caps w:val="0"/>
          <w:color w:val="525353"/>
          <w:spacing w:val="0"/>
          <w:sz w:val="31"/>
          <w:szCs w:val="31"/>
          <w:bdr w:val="none" w:color="auto" w:sz="0" w:space="0"/>
          <w:shd w:val="clear" w:fill="FFFFFF"/>
        </w:rPr>
        <w:t> 评标专家存在下列情形之一的，每次扣</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10</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（一）参加评标迟到</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15</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分钟及以上；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（二）不配合入场身份核验录检、不按要求存放或违规使用通讯工具的；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（三）确认参加评标后，无正当理由不参加评标工作且未在专家签到截止时间前按要求办理请假手续的；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（四）其他不遵守评标评审现场管理规定的；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（五）未参加教育培训或教育培训考核不合格的。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评标专家存在下列情形之一的，每次扣</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20</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default" w:ascii="Times New Roman" w:hAnsi="Times New Roman" w:eastAsia="仿宋_GB2312" w:cs="Times New Roman"/>
          <w:i w:val="0"/>
          <w:iCs w:val="0"/>
          <w:caps w:val="0"/>
          <w:color w:val="525353"/>
          <w:spacing w:val="0"/>
          <w:sz w:val="31"/>
          <w:szCs w:val="31"/>
          <w:bdr w:val="none" w:color="auto" w:sz="0" w:space="0"/>
          <w:shd w:val="clear" w:fill="FFFFFF"/>
        </w:rPr>
        <w:t>1.</w:t>
      </w:r>
      <w:r>
        <w:rPr>
          <w:rFonts w:hint="eastAsia" w:ascii="仿宋_GB2312" w:hAnsi="Times New Roman" w:eastAsia="仿宋_GB2312" w:cs="仿宋_GB2312"/>
          <w:i w:val="0"/>
          <w:iCs w:val="0"/>
          <w:caps w:val="0"/>
          <w:color w:val="525353"/>
          <w:spacing w:val="0"/>
          <w:sz w:val="31"/>
          <w:szCs w:val="31"/>
          <w:bdr w:val="none" w:color="auto" w:sz="0" w:space="0"/>
          <w:shd w:val="clear" w:fill="FFFFFF"/>
        </w:rPr>
        <w:t>未严格按照评标标准和方法，依法对投标文件进行独立评审，提出评审意见，但未造成严重后果的；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default" w:ascii="Times New Roman" w:hAnsi="Times New Roman" w:eastAsia="仿宋_GB2312" w:cs="Times New Roman"/>
          <w:i w:val="0"/>
          <w:iCs w:val="0"/>
          <w:caps w:val="0"/>
          <w:color w:val="525353"/>
          <w:spacing w:val="0"/>
          <w:sz w:val="31"/>
          <w:szCs w:val="31"/>
          <w:bdr w:val="none" w:color="auto" w:sz="0" w:space="0"/>
          <w:shd w:val="clear" w:fill="FFFFFF"/>
        </w:rPr>
        <w:t>2.</w:t>
      </w:r>
      <w:r>
        <w:rPr>
          <w:rFonts w:hint="eastAsia" w:ascii="仿宋_GB2312" w:hAnsi="Times New Roman" w:eastAsia="仿宋_GB2312" w:cs="仿宋_GB2312"/>
          <w:i w:val="0"/>
          <w:iCs w:val="0"/>
          <w:caps w:val="0"/>
          <w:color w:val="525353"/>
          <w:spacing w:val="0"/>
          <w:sz w:val="31"/>
          <w:szCs w:val="31"/>
          <w:bdr w:val="none" w:color="auto" w:sz="0" w:space="0"/>
          <w:shd w:val="clear" w:fill="FFFFFF"/>
        </w:rPr>
        <w:t>拒绝在评标报告上签字，又不书面说明其不同意见和理由；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default" w:ascii="Times New Roman" w:hAnsi="Times New Roman" w:eastAsia="仿宋_GB2312" w:cs="Times New Roman"/>
          <w:i w:val="0"/>
          <w:iCs w:val="0"/>
          <w:caps w:val="0"/>
          <w:color w:val="525353"/>
          <w:spacing w:val="0"/>
          <w:sz w:val="31"/>
          <w:szCs w:val="31"/>
          <w:bdr w:val="none" w:color="auto" w:sz="0" w:space="0"/>
          <w:shd w:val="clear" w:fill="FFFFFF"/>
        </w:rPr>
        <w:t>3.</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对按规定发放的评标评审酬劳不满，拖延评标评审时间或采取其他方式消极履职，影响评标评审工作整体进展的；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default" w:ascii="Times New Roman" w:hAnsi="Times New Roman" w:cs="Times New Roman"/>
          <w:i w:val="0"/>
          <w:iCs w:val="0"/>
          <w:caps w:val="0"/>
          <w:color w:val="525353"/>
          <w:spacing w:val="0"/>
          <w:sz w:val="21"/>
          <w:szCs w:val="21"/>
        </w:rPr>
      </w:pPr>
      <w:r>
        <w:rPr>
          <w:rFonts w:hint="default" w:ascii="Times New Roman" w:hAnsi="Times New Roman" w:eastAsia="仿宋_GB2312" w:cs="Times New Roman"/>
          <w:i w:val="0"/>
          <w:iCs w:val="0"/>
          <w:caps w:val="0"/>
          <w:color w:val="525353"/>
          <w:spacing w:val="0"/>
          <w:sz w:val="31"/>
          <w:szCs w:val="31"/>
          <w:bdr w:val="none" w:color="auto" w:sz="0" w:space="0"/>
          <w:shd w:val="clear" w:fill="FFFFFF"/>
          <w:vertAlign w:val="baseline"/>
        </w:rPr>
        <w:t>4.</w:t>
      </w:r>
      <w:r>
        <w:rPr>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其他不客观、不公正履行职务的行为。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评标专家存在下列情形之一的，每次扣</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40</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default" w:ascii="Times New Roman" w:hAnsi="Times New Roman" w:eastAsia="仿宋_GB2312" w:cs="Times New Roman"/>
          <w:i w:val="0"/>
          <w:iCs w:val="0"/>
          <w:caps w:val="0"/>
          <w:color w:val="525353"/>
          <w:spacing w:val="0"/>
          <w:sz w:val="31"/>
          <w:szCs w:val="31"/>
          <w:bdr w:val="none" w:color="auto" w:sz="0" w:space="0"/>
          <w:shd w:val="clear" w:fill="FFFFFF"/>
        </w:rPr>
        <w:t>1.</w:t>
      </w:r>
      <w:r>
        <w:rPr>
          <w:rFonts w:hint="eastAsia" w:ascii="仿宋_GB2312" w:hAnsi="Times New Roman" w:eastAsia="仿宋_GB2312" w:cs="仿宋_GB2312"/>
          <w:i w:val="0"/>
          <w:iCs w:val="0"/>
          <w:caps w:val="0"/>
          <w:color w:val="525353"/>
          <w:spacing w:val="0"/>
          <w:sz w:val="31"/>
          <w:szCs w:val="31"/>
          <w:bdr w:val="none" w:color="auto" w:sz="0" w:space="0"/>
          <w:shd w:val="clear" w:fill="FFFFFF"/>
        </w:rPr>
        <w:t>无故擅离职守或者严重扰乱评标现场秩序的；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default" w:ascii="Times New Roman" w:hAnsi="Times New Roman" w:eastAsia="仿宋_GB2312" w:cs="Times New Roman"/>
          <w:i w:val="0"/>
          <w:iCs w:val="0"/>
          <w:caps w:val="0"/>
          <w:color w:val="525353"/>
          <w:spacing w:val="0"/>
          <w:sz w:val="31"/>
          <w:szCs w:val="31"/>
          <w:bdr w:val="none" w:color="auto" w:sz="0" w:space="0"/>
          <w:shd w:val="clear" w:fill="FFFFFF"/>
        </w:rPr>
        <w:t>2.</w:t>
      </w:r>
      <w:r>
        <w:rPr>
          <w:rFonts w:hint="eastAsia" w:ascii="仿宋_GB2312" w:hAnsi="Times New Roman" w:eastAsia="仿宋_GB2312" w:cs="仿宋_GB2312"/>
          <w:i w:val="0"/>
          <w:iCs w:val="0"/>
          <w:caps w:val="0"/>
          <w:color w:val="525353"/>
          <w:spacing w:val="0"/>
          <w:sz w:val="31"/>
          <w:szCs w:val="31"/>
          <w:bdr w:val="none" w:color="auto" w:sz="0" w:space="0"/>
          <w:shd w:val="clear" w:fill="FFFFFF"/>
        </w:rPr>
        <w:t>不按照招标文件规定的评标标准和方法评标，情节严重且造成严重后果的；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default" w:ascii="Times New Roman" w:hAnsi="Times New Roman" w:eastAsia="仿宋_GB2312" w:cs="Times New Roman"/>
          <w:i w:val="0"/>
          <w:iCs w:val="0"/>
          <w:caps w:val="0"/>
          <w:color w:val="525353"/>
          <w:spacing w:val="0"/>
          <w:sz w:val="31"/>
          <w:szCs w:val="31"/>
          <w:bdr w:val="none" w:color="auto" w:sz="0" w:space="0"/>
          <w:shd w:val="clear" w:fill="FFFFFF"/>
        </w:rPr>
        <w:t>3.</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应当回避而不回避的；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default" w:ascii="Times New Roman" w:hAnsi="Times New Roman" w:eastAsia="仿宋_GB2312" w:cs="Times New Roman"/>
          <w:i w:val="0"/>
          <w:iCs w:val="0"/>
          <w:caps w:val="0"/>
          <w:color w:val="525353"/>
          <w:spacing w:val="0"/>
          <w:sz w:val="31"/>
          <w:szCs w:val="31"/>
          <w:bdr w:val="none" w:color="auto" w:sz="0" w:space="0"/>
          <w:shd w:val="clear" w:fill="FFFFFF"/>
        </w:rPr>
        <w:t>4.</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对依法应当否决的投标不提出否决意见的；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default" w:ascii="Times New Roman" w:hAnsi="Times New Roman" w:eastAsia="仿宋_GB2312" w:cs="Times New Roman"/>
          <w:i w:val="0"/>
          <w:iCs w:val="0"/>
          <w:caps w:val="0"/>
          <w:color w:val="525353"/>
          <w:spacing w:val="0"/>
          <w:sz w:val="31"/>
          <w:szCs w:val="31"/>
          <w:bdr w:val="none" w:color="auto" w:sz="0" w:space="0"/>
          <w:shd w:val="clear" w:fill="FFFFFF"/>
        </w:rPr>
        <w:t>5.</w:t>
      </w:r>
      <w:r>
        <w:rPr>
          <w:rFonts w:hint="eastAsia" w:ascii="仿宋_GB2312" w:hAnsi="Times New Roman" w:eastAsia="仿宋_GB2312" w:cs="仿宋_GB2312"/>
          <w:i w:val="0"/>
          <w:iCs w:val="0"/>
          <w:caps w:val="0"/>
          <w:color w:val="525353"/>
          <w:spacing w:val="0"/>
          <w:sz w:val="31"/>
          <w:szCs w:val="31"/>
          <w:bdr w:val="none" w:color="auto" w:sz="0" w:space="0"/>
          <w:shd w:val="clear" w:fill="FFFFFF"/>
        </w:rPr>
        <w:t>暗示或者诱导投标人作出澄清、说明，或者接受投标人主动提出的澄清、说明的；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default" w:ascii="Times New Roman" w:hAnsi="Times New Roman" w:eastAsia="仿宋_GB2312" w:cs="Times New Roman"/>
          <w:i w:val="0"/>
          <w:iCs w:val="0"/>
          <w:caps w:val="0"/>
          <w:color w:val="525353"/>
          <w:spacing w:val="0"/>
          <w:sz w:val="31"/>
          <w:szCs w:val="31"/>
          <w:bdr w:val="none" w:color="auto" w:sz="0" w:space="0"/>
          <w:shd w:val="clear" w:fill="FFFFFF"/>
        </w:rPr>
        <w:t>6.</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其他严重不客观、不公正履行职务的行为。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rPr>
        <w:t>第二十条 </w:t>
      </w:r>
      <w:r>
        <w:rPr>
          <w:rFonts w:hint="eastAsia" w:ascii="仿宋_GB2312" w:hAnsi="Times New Roman" w:eastAsia="仿宋_GB2312" w:cs="仿宋_GB2312"/>
          <w:i w:val="0"/>
          <w:iCs w:val="0"/>
          <w:caps w:val="0"/>
          <w:color w:val="525353"/>
          <w:spacing w:val="0"/>
          <w:sz w:val="31"/>
          <w:szCs w:val="31"/>
          <w:bdr w:val="none" w:color="auto" w:sz="0" w:space="0"/>
          <w:shd w:val="clear" w:fill="FFFFFF"/>
        </w:rPr>
        <w:t>评标专家有下列情形之一的，属于情节特别严重，取消其担任评标委员会成员的资格，解除聘任关系，并禁止其参加本行业组织的一切政府采购与林业工程评审活动。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（一）提供虚假材料入库的；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（二）与招标人、招标代理机构、投标人或者其他利害关系人私下接触或者相互串通的；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（三）向招标人征询确定中标人的意向，或者接受任何单位、个人提出的倾向、排斥特定投标人要求的；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（四）对其他评标委员会成员的独立评标施加不当影响的；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（五）违法透露对投标文件的评审和比较、中标候选人的推荐以及与评标有关的其他情况的；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（六）索取或者收受评标劳务报酬以外财物的；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（七）不协助、不配合有关部门的监督、检查、调查工作的；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rPr>
        <w:t>（八）其他违反国家法律、法规的行为。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rPr>
        <w:t>第二十一条</w:t>
      </w:r>
      <w:r>
        <w:rPr>
          <w:rFonts w:hint="eastAsia" w:ascii="仿宋_GB2312" w:hAnsi="Times New Roman" w:eastAsia="仿宋_GB2312" w:cs="仿宋_GB2312"/>
          <w:i w:val="0"/>
          <w:iCs w:val="0"/>
          <w:caps w:val="0"/>
          <w:color w:val="525353"/>
          <w:spacing w:val="0"/>
          <w:sz w:val="31"/>
          <w:szCs w:val="31"/>
          <w:bdr w:val="none" w:color="auto" w:sz="0" w:space="0"/>
          <w:shd w:val="clear" w:fill="FFFFFF"/>
        </w:rPr>
        <w:t> 在一个考核年度内，评标专家在参与评标活动过程中，因存在违规或其他应扣分的行为而累计扣分达到相应分值的，将按有关规定予以处理：累计扣分达到</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10</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分，禁止其在</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3</w:t>
      </w:r>
      <w:r>
        <w:rPr>
          <w:rFonts w:hint="eastAsia" w:ascii="仿宋_GB2312" w:hAnsi="Times New Roman" w:eastAsia="仿宋_GB2312" w:cs="仿宋_GB2312"/>
          <w:i w:val="0"/>
          <w:iCs w:val="0"/>
          <w:caps w:val="0"/>
          <w:color w:val="525353"/>
          <w:spacing w:val="0"/>
          <w:sz w:val="31"/>
          <w:szCs w:val="31"/>
          <w:bdr w:val="none" w:color="auto" w:sz="0" w:space="0"/>
          <w:shd w:val="clear" w:fill="FFFFFF"/>
        </w:rPr>
        <w:t>个月内参加依法必须进行招标项目的评标；累计扣分达到</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20</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分，禁止其在</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6</w:t>
      </w:r>
      <w:r>
        <w:rPr>
          <w:rFonts w:hint="eastAsia" w:ascii="仿宋_GB2312" w:hAnsi="Times New Roman" w:eastAsia="仿宋_GB2312" w:cs="仿宋_GB2312"/>
          <w:i w:val="0"/>
          <w:iCs w:val="0"/>
          <w:caps w:val="0"/>
          <w:color w:val="525353"/>
          <w:spacing w:val="0"/>
          <w:sz w:val="31"/>
          <w:szCs w:val="31"/>
          <w:bdr w:val="none" w:color="auto" w:sz="0" w:space="0"/>
          <w:shd w:val="clear" w:fill="FFFFFF"/>
        </w:rPr>
        <w:t>个月内参加依法必须进行招标项目的评标；累计扣分达到</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30</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分，禁止其在</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9</w:t>
      </w:r>
      <w:r>
        <w:rPr>
          <w:rFonts w:hint="eastAsia" w:ascii="仿宋_GB2312" w:hAnsi="Times New Roman" w:eastAsia="仿宋_GB2312" w:cs="仿宋_GB2312"/>
          <w:i w:val="0"/>
          <w:iCs w:val="0"/>
          <w:caps w:val="0"/>
          <w:color w:val="525353"/>
          <w:spacing w:val="0"/>
          <w:sz w:val="31"/>
          <w:szCs w:val="31"/>
          <w:bdr w:val="none" w:color="auto" w:sz="0" w:space="0"/>
          <w:shd w:val="clear" w:fill="FFFFFF"/>
        </w:rPr>
        <w:t>个月内参加依法必须进行招标项目的评标；累计扣分达到</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40</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分，禁止其在</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1</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年内参加依法必须进行招标项目的评标；累计扣分超过</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40</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分，与其解除聘任关系，</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2</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年内不得申请入库。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rPr>
        <w:t>第二十二条</w:t>
      </w:r>
      <w:r>
        <w:rPr>
          <w:rFonts w:hint="eastAsia" w:ascii="仿宋_GB2312" w:hAnsi="Times New Roman" w:eastAsia="仿宋_GB2312" w:cs="仿宋_GB2312"/>
          <w:i w:val="0"/>
          <w:iCs w:val="0"/>
          <w:caps w:val="0"/>
          <w:color w:val="525353"/>
          <w:spacing w:val="0"/>
          <w:sz w:val="31"/>
          <w:szCs w:val="31"/>
          <w:bdr w:val="none" w:color="auto" w:sz="0" w:space="0"/>
          <w:shd w:val="clear" w:fill="FFFFFF"/>
        </w:rPr>
        <w:t> 评标专家的年度履职考核实行累计扣分制。基准分为</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100</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分。年度考核结果分为合格和不合格两个等次，年度考核分数达到</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60</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分及以上的为合格，考评分数低于</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60</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分的为不合格。年度考核结果不合格的评标专家应予以解聘。每个考核年度结束后，考核分数自动重置为</w:t>
      </w:r>
      <w:r>
        <w:rPr>
          <w:rFonts w:hint="default" w:ascii="Times New Roman" w:hAnsi="Times New Roman" w:eastAsia="仿宋_GB2312" w:cs="Times New Roman"/>
          <w:i w:val="0"/>
          <w:iCs w:val="0"/>
          <w:caps w:val="0"/>
          <w:color w:val="525353"/>
          <w:spacing w:val="0"/>
          <w:sz w:val="31"/>
          <w:szCs w:val="31"/>
          <w:bdr w:val="none" w:color="auto" w:sz="0" w:space="0"/>
          <w:shd w:val="clear" w:fill="FFFFFF"/>
        </w:rPr>
        <w:t>100</w:t>
      </w:r>
      <w:r>
        <w:rPr>
          <w:rFonts w:hint="eastAsia" w:ascii="仿宋_GB2312" w:hAnsi="Times New Roman" w:eastAsia="仿宋_GB2312" w:cs="仿宋_GB2312"/>
          <w:i w:val="0"/>
          <w:iCs w:val="0"/>
          <w:caps w:val="0"/>
          <w:color w:val="525353"/>
          <w:spacing w:val="0"/>
          <w:sz w:val="31"/>
          <w:szCs w:val="31"/>
          <w:bdr w:val="none" w:color="auto" w:sz="0" w:space="0"/>
          <w:shd w:val="clear" w:fill="FFFFFF"/>
        </w:rPr>
        <w:t>分，转入下一年度考核周期；但因违规行为已依据第二十一条规定被予以禁止参与评标或解除聘任等处理的，其处理期限不受年度分数重置影响，须待处理期满且符合条件后继续参与评标。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textAlignment w:val="baseline"/>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第二十三条</w:t>
      </w:r>
      <w:r>
        <w:rPr>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 各级林业主管部门依照本办法对评标专家进行处理，处理决定应书面告知当事人。市、县级林业主管部门应自作出处理决定起</w:t>
      </w:r>
      <w:r>
        <w:rPr>
          <w:rFonts w:hint="default" w:ascii="Times New Roman" w:hAnsi="Times New Roman" w:eastAsia="仿宋_GB2312" w:cs="Times New Roman"/>
          <w:i w:val="0"/>
          <w:iCs w:val="0"/>
          <w:caps w:val="0"/>
          <w:color w:val="525353"/>
          <w:spacing w:val="0"/>
          <w:sz w:val="31"/>
          <w:szCs w:val="31"/>
          <w:bdr w:val="none" w:color="auto" w:sz="0" w:space="0"/>
          <w:shd w:val="clear" w:fill="FFFFFF"/>
          <w:vertAlign w:val="baseline"/>
        </w:rPr>
        <w:t>7</w:t>
      </w:r>
      <w:r>
        <w:rPr>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个工作日内将处理结果逐级上报至自治区林业局，自治区林业局视情况将有关人员名单从综合评标专家库中删除，或者在综合评标专家库系统中对有关人员采取限制抽取等措施。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textAlignment w:val="baseline"/>
        <w:rPr>
          <w:rFonts w:hint="default" w:ascii="Times New Roman" w:hAnsi="Times New Roman" w:cs="Times New Roman"/>
          <w:i w:val="0"/>
          <w:iCs w:val="0"/>
          <w:caps w:val="0"/>
          <w:color w:val="525353"/>
          <w:spacing w:val="0"/>
          <w:sz w:val="21"/>
          <w:szCs w:val="21"/>
        </w:rPr>
      </w:pPr>
      <w:r>
        <w:rPr>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textAlignment w:val="baseline"/>
        <w:rPr>
          <w:rFonts w:hint="default" w:ascii="Times New Roman" w:hAnsi="Times New Roman" w:cs="Times New Roman"/>
          <w:i w:val="0"/>
          <w:iCs w:val="0"/>
          <w:caps w:val="0"/>
          <w:color w:val="525353"/>
          <w:spacing w:val="0"/>
          <w:sz w:val="21"/>
          <w:szCs w:val="21"/>
        </w:rPr>
      </w:pPr>
      <w:r>
        <w:rPr>
          <w:rFonts w:hint="eastAsia" w:ascii="黑体" w:hAnsi="宋体" w:eastAsia="黑体" w:cs="黑体"/>
          <w:i w:val="0"/>
          <w:iCs w:val="0"/>
          <w:caps w:val="0"/>
          <w:color w:val="525353"/>
          <w:spacing w:val="0"/>
          <w:sz w:val="31"/>
          <w:szCs w:val="31"/>
          <w:bdr w:val="none" w:color="auto" w:sz="0" w:space="0"/>
          <w:shd w:val="clear" w:fill="FFFFFF"/>
          <w:vertAlign w:val="baseline"/>
        </w:rPr>
        <w:t>第六章</w:t>
      </w:r>
      <w:r>
        <w:rPr>
          <w:rFonts w:hint="default" w:ascii="Times New Roman" w:hAnsi="Times New Roman" w:cs="Times New Roman"/>
          <w:i w:val="0"/>
          <w:iCs w:val="0"/>
          <w:caps w:val="0"/>
          <w:color w:val="525353"/>
          <w:spacing w:val="0"/>
          <w:sz w:val="31"/>
          <w:szCs w:val="31"/>
          <w:bdr w:val="none" w:color="auto" w:sz="0" w:space="0"/>
          <w:shd w:val="clear" w:fill="FFFFFF"/>
          <w:vertAlign w:val="baseline"/>
        </w:rPr>
        <w:t> </w:t>
      </w:r>
      <w:r>
        <w:rPr>
          <w:rFonts w:hint="eastAsia" w:ascii="黑体" w:hAnsi="宋体" w:eastAsia="黑体" w:cs="黑体"/>
          <w:i w:val="0"/>
          <w:iCs w:val="0"/>
          <w:caps w:val="0"/>
          <w:color w:val="525353"/>
          <w:spacing w:val="0"/>
          <w:sz w:val="31"/>
          <w:szCs w:val="31"/>
          <w:bdr w:val="none" w:color="auto" w:sz="0" w:space="0"/>
          <w:shd w:val="clear" w:fill="FFFFFF"/>
          <w:vertAlign w:val="baseline"/>
        </w:rPr>
        <w:t>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textAlignment w:val="baseline"/>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第二十四条</w:t>
      </w:r>
      <w:r>
        <w:rPr>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 评标专家在评标活动中有违法违规行为，按照《中华人民共和国招标投标法》《中华人民共和国招标投标法实施条例》《评标专家和评标专家库管理办法》等法律法规的规定处理；涉嫌违纪违法犯罪的，及时移送纪检监察机关、司法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textAlignment w:val="baseline"/>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第二十五条</w:t>
      </w:r>
      <w:r>
        <w:rPr>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 评标专家对评标行为终身负责，不因退休或者与评标专家库组建单位解除聘任关系等免予追责。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textAlignment w:val="baseline"/>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第二十六条</w:t>
      </w:r>
      <w:r>
        <w:rPr>
          <w:rFonts w:hint="eastAsia" w:ascii="仿宋_GB2312" w:hAnsi="Times New Roman" w:eastAsia="仿宋_GB2312" w:cs="仿宋_GB2312"/>
          <w:i w:val="0"/>
          <w:iCs w:val="0"/>
          <w:caps w:val="0"/>
          <w:color w:val="525353"/>
          <w:spacing w:val="0"/>
          <w:sz w:val="31"/>
          <w:szCs w:val="31"/>
          <w:bdr w:val="none" w:color="auto" w:sz="0" w:space="0"/>
          <w:shd w:val="clear" w:fill="FFFFFF"/>
          <w:vertAlign w:val="baseline"/>
        </w:rPr>
        <w:t> 评标专家不履行本办法第十七条规定的义务，给招标人造成损失的，依法承担赔偿责任。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textAlignment w:val="baseline"/>
        <w:rPr>
          <w:rFonts w:hint="default" w:ascii="Times New Roman" w:hAnsi="Times New Roman" w:cs="Times New Roman"/>
          <w:i w:val="0"/>
          <w:iCs w:val="0"/>
          <w:caps w:val="0"/>
          <w:color w:val="525353"/>
          <w:spacing w:val="0"/>
          <w:sz w:val="21"/>
          <w:szCs w:val="21"/>
        </w:rPr>
      </w:pPr>
      <w:r>
        <w:rPr>
          <w:rFonts w:hint="default" w:ascii="Times New Roman" w:hAnsi="Times New Roman" w:cs="Times New Roman"/>
          <w:i w:val="0"/>
          <w:iCs w:val="0"/>
          <w:caps w:val="0"/>
          <w:color w:val="525353"/>
          <w:spacing w:val="0"/>
          <w:sz w:val="31"/>
          <w:szCs w:val="31"/>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default" w:ascii="Times New Roman" w:hAnsi="Times New Roman" w:cs="Times New Roman"/>
          <w:i w:val="0"/>
          <w:iCs w:val="0"/>
          <w:caps w:val="0"/>
          <w:color w:val="525353"/>
          <w:spacing w:val="0"/>
          <w:sz w:val="21"/>
          <w:szCs w:val="21"/>
        </w:rPr>
      </w:pPr>
      <w:r>
        <w:rPr>
          <w:rFonts w:hint="eastAsia" w:ascii="黑体" w:hAnsi="宋体" w:eastAsia="黑体" w:cs="黑体"/>
          <w:i w:val="0"/>
          <w:iCs w:val="0"/>
          <w:caps w:val="0"/>
          <w:color w:val="525353"/>
          <w:spacing w:val="0"/>
          <w:sz w:val="31"/>
          <w:szCs w:val="31"/>
          <w:bdr w:val="none" w:color="auto" w:sz="0" w:space="0"/>
          <w:shd w:val="clear" w:fill="FFFFFF"/>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rPr>
        <w:t>第二十七条 </w:t>
      </w:r>
      <w:r>
        <w:rPr>
          <w:rFonts w:hint="eastAsia" w:ascii="仿宋_GB2312" w:hAnsi="Times New Roman" w:eastAsia="仿宋_GB2312" w:cs="仿宋_GB2312"/>
          <w:i w:val="0"/>
          <w:iCs w:val="0"/>
          <w:caps w:val="0"/>
          <w:color w:val="525353"/>
          <w:spacing w:val="0"/>
          <w:sz w:val="31"/>
          <w:szCs w:val="31"/>
          <w:bdr w:val="none" w:color="auto" w:sz="0" w:space="0"/>
          <w:shd w:val="clear" w:fill="FFFFFF"/>
        </w:rPr>
        <w:t>本办法由自治区林业局负责解释。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default" w:ascii="Times New Roman" w:hAnsi="Times New Roman" w:cs="Times New Roman"/>
          <w:i w:val="0"/>
          <w:iCs w:val="0"/>
          <w:caps w:val="0"/>
          <w:color w:val="525353"/>
          <w:spacing w:val="0"/>
          <w:sz w:val="21"/>
          <w:szCs w:val="21"/>
        </w:rPr>
      </w:pPr>
      <w:r>
        <w:rPr>
          <w:rStyle w:val="6"/>
          <w:rFonts w:hint="eastAsia" w:ascii="仿宋_GB2312" w:hAnsi="Times New Roman" w:eastAsia="仿宋_GB2312" w:cs="仿宋_GB2312"/>
          <w:i w:val="0"/>
          <w:iCs w:val="0"/>
          <w:caps w:val="0"/>
          <w:color w:val="525353"/>
          <w:spacing w:val="0"/>
          <w:sz w:val="31"/>
          <w:szCs w:val="31"/>
          <w:bdr w:val="none" w:color="auto" w:sz="0" w:space="0"/>
          <w:shd w:val="clear" w:fill="FFFFFF"/>
        </w:rPr>
        <w:t>第二十八条 </w:t>
      </w:r>
      <w:r>
        <w:rPr>
          <w:rFonts w:hint="eastAsia" w:ascii="仿宋_GB2312" w:hAnsi="Times New Roman" w:eastAsia="仿宋_GB2312" w:cs="仿宋_GB2312"/>
          <w:i w:val="0"/>
          <w:iCs w:val="0"/>
          <w:caps w:val="0"/>
          <w:color w:val="525353"/>
          <w:spacing w:val="0"/>
          <w:sz w:val="31"/>
          <w:szCs w:val="31"/>
          <w:bdr w:val="none" w:color="auto" w:sz="0" w:space="0"/>
          <w:shd w:val="clear" w:fill="FFFFFF"/>
        </w:rPr>
        <w:t>本办法自印发之日起施行。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315"/>
        <w:jc w:val="both"/>
        <w:rPr>
          <w:rFonts w:hint="default" w:ascii="Times New Roman" w:hAnsi="Times New Roman" w:cs="Times New Roman"/>
          <w:i w:val="0"/>
          <w:iCs w:val="0"/>
          <w:caps w:val="0"/>
          <w:color w:val="525353"/>
          <w:spacing w:val="0"/>
          <w:sz w:val="21"/>
          <w:szCs w:val="21"/>
        </w:rPr>
      </w:pPr>
      <w:r>
        <w:rPr>
          <w:rFonts w:hint="default" w:ascii="Times New Roman" w:hAnsi="Times New Roman" w:cs="Times New Roman"/>
          <w:i w:val="0"/>
          <w:iCs w:val="0"/>
          <w:caps w:val="0"/>
          <w:color w:val="525353"/>
          <w:spacing w:val="0"/>
          <w:sz w:val="31"/>
          <w:szCs w:val="31"/>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FF6406-E0C8-4F22-8D36-CE923B2287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026119D2-8294-4FF2-B2C0-65CE489C04C9}"/>
  </w:font>
  <w:font w:name="仿宋_GB2312">
    <w:panose1 w:val="02010609030101010101"/>
    <w:charset w:val="86"/>
    <w:family w:val="auto"/>
    <w:pitch w:val="default"/>
    <w:sig w:usb0="00000001" w:usb1="080E0000" w:usb2="00000000" w:usb3="00000000" w:csb0="00040000" w:csb1="00000000"/>
    <w:embedRegular r:id="rId3" w:fontKey="{669EEE30-8AAE-403B-AF78-293158060F8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ZjcxZWM0NGRjZDExYmQwMDk1NDI3ZTcwYjVlN2MifQ=="/>
  </w:docVars>
  <w:rsids>
    <w:rsidRoot w:val="00000000"/>
    <w:rsid w:val="0A3D14E0"/>
    <w:rsid w:val="1F3D7EC7"/>
    <w:rsid w:val="4A227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方正仿宋_GB2312" w:cstheme="minorBidi"/>
      <w:sz w:val="32"/>
      <w:szCs w:val="24"/>
      <w:lang w:val="en-US" w:eastAsia="en-US"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link w:val="7"/>
    <w:qFormat/>
    <w:uiPriority w:val="0"/>
    <w:rPr>
      <w:rFonts w:eastAsia="黑体"/>
      <w:sz w:val="21"/>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目录 1 Char"/>
    <w:link w:val="2"/>
    <w:uiPriority w:val="0"/>
    <w:rPr>
      <w:rFonts w:eastAsia="黑体"/>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2025-09-24T08:00:00Z</dcterms:created>
  <dc:creator>Administrator</dc:creator>
  <cp:lastModifiedBy>法规监督科</cp:lastModifiedBy>
  <dcterms:modified xsi:type="dcterms:W3CDTF">2026-02-06T06:45:18Z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37A0A88730994F8580C67A92248BE517_12</vt:lpwstr>
  </property>
</Properties>
</file>